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93" w:rsidRDefault="00164093" w:rsidP="00164093">
      <w:pPr>
        <w:pStyle w:val="Sinespaciado"/>
        <w:jc w:val="center"/>
        <w:rPr>
          <w:b/>
        </w:rPr>
      </w:pPr>
      <w:r>
        <w:rPr>
          <w:b/>
          <w:noProof/>
          <w:lang w:eastAsia="es-MX"/>
        </w:rPr>
        <w:drawing>
          <wp:inline distT="0" distB="0" distL="0" distR="0" wp14:anchorId="1F4DEFAD" wp14:editId="0BF07FFD">
            <wp:extent cx="1475105" cy="8534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105" cy="853440"/>
                    </a:xfrm>
                    <a:prstGeom prst="rect">
                      <a:avLst/>
                    </a:prstGeom>
                    <a:noFill/>
                  </pic:spPr>
                </pic:pic>
              </a:graphicData>
            </a:graphic>
          </wp:inline>
        </w:drawing>
      </w:r>
    </w:p>
    <w:p w:rsidR="00164093" w:rsidRPr="000715B1" w:rsidRDefault="00164093" w:rsidP="00164093">
      <w:pPr>
        <w:pBdr>
          <w:bottom w:val="single" w:sz="12" w:space="1" w:color="auto"/>
        </w:pBdr>
        <w:jc w:val="both"/>
        <w:rPr>
          <w:rFonts w:ascii="Tahoma" w:hAnsi="Tahoma" w:cs="Tahoma"/>
          <w:b/>
        </w:rPr>
      </w:pPr>
    </w:p>
    <w:p w:rsidR="00164093" w:rsidRPr="000715B1" w:rsidRDefault="00164093" w:rsidP="00164093">
      <w:pPr>
        <w:pBdr>
          <w:bottom w:val="single" w:sz="12" w:space="1" w:color="auto"/>
        </w:pBdr>
        <w:jc w:val="center"/>
        <w:rPr>
          <w:rFonts w:ascii="Tahoma" w:hAnsi="Tahoma" w:cs="Tahoma"/>
          <w:b/>
        </w:rPr>
      </w:pPr>
      <w:r w:rsidRPr="000715B1">
        <w:rPr>
          <w:rFonts w:ascii="Tahoma" w:hAnsi="Tahoma" w:cs="Tahoma"/>
          <w:b/>
        </w:rPr>
        <w:t>COMUNICADO DE PRENSA</w:t>
      </w:r>
    </w:p>
    <w:p w:rsidR="00164093" w:rsidRPr="000715B1" w:rsidRDefault="00164093" w:rsidP="00164093">
      <w:pPr>
        <w:pBdr>
          <w:bottom w:val="single" w:sz="12" w:space="1" w:color="auto"/>
        </w:pBdr>
        <w:jc w:val="both"/>
        <w:rPr>
          <w:rFonts w:ascii="Tahoma" w:hAnsi="Tahoma" w:cs="Tahoma"/>
          <w:b/>
        </w:rPr>
      </w:pPr>
    </w:p>
    <w:p w:rsidR="00164093" w:rsidRPr="000715B1" w:rsidRDefault="00164093" w:rsidP="00164093">
      <w:pPr>
        <w:pStyle w:val="Sinespaciado"/>
        <w:jc w:val="both"/>
        <w:rPr>
          <w:rFonts w:ascii="Tahoma" w:hAnsi="Tahoma" w:cs="Tahoma"/>
          <w:b/>
          <w:smallCaps/>
        </w:rPr>
      </w:pPr>
    </w:p>
    <w:p w:rsidR="00164093" w:rsidRPr="00E651E6" w:rsidRDefault="00164093" w:rsidP="00164093">
      <w:pPr>
        <w:spacing w:after="0" w:line="240" w:lineRule="auto"/>
        <w:ind w:left="851" w:right="1183"/>
        <w:jc w:val="center"/>
        <w:rPr>
          <w:rFonts w:ascii="Tahoma" w:eastAsia="Calibri" w:hAnsi="Tahoma" w:cs="Tahoma"/>
          <w:b/>
          <w:lang w:eastAsia="es-ES"/>
        </w:rPr>
      </w:pPr>
      <w:r>
        <w:rPr>
          <w:rFonts w:ascii="Tahoma" w:eastAsia="Calibri" w:hAnsi="Tahoma" w:cs="Tahoma"/>
          <w:b/>
          <w:lang w:eastAsia="es-ES"/>
        </w:rPr>
        <w:t>Norma de emergencia NOM-EM-005-CRE-2015, Especificaciones de calidad de los petrolíferos.</w:t>
      </w:r>
    </w:p>
    <w:p w:rsidR="00164093" w:rsidRPr="00561FB2" w:rsidRDefault="00164093" w:rsidP="00164093">
      <w:pPr>
        <w:spacing w:after="0" w:line="240" w:lineRule="auto"/>
        <w:ind w:left="851" w:right="1183"/>
        <w:jc w:val="center"/>
        <w:rPr>
          <w:rFonts w:ascii="Tahoma" w:eastAsia="Calibri" w:hAnsi="Tahoma" w:cs="Tahoma"/>
          <w:i/>
          <w:u w:val="single"/>
          <w:lang w:eastAsia="es-ES"/>
        </w:rPr>
      </w:pPr>
    </w:p>
    <w:p w:rsidR="00164093" w:rsidRPr="005D6DC3" w:rsidRDefault="00164093" w:rsidP="00164093">
      <w:pPr>
        <w:spacing w:after="0" w:line="240" w:lineRule="auto"/>
        <w:ind w:left="851" w:right="1183"/>
        <w:jc w:val="center"/>
        <w:rPr>
          <w:rFonts w:ascii="Tahoma" w:eastAsia="Calibri" w:hAnsi="Tahoma" w:cs="Tahoma"/>
          <w:i/>
          <w:u w:val="single"/>
          <w:lang w:eastAsia="es-ES"/>
        </w:rPr>
      </w:pPr>
      <w:r>
        <w:rPr>
          <w:rFonts w:ascii="Tahoma" w:eastAsia="Calibri" w:hAnsi="Tahoma" w:cs="Tahoma"/>
          <w:i/>
          <w:u w:val="single"/>
          <w:lang w:eastAsia="es-ES"/>
        </w:rPr>
        <w:t xml:space="preserve">Norma </w:t>
      </w:r>
      <w:r w:rsidR="000A2414">
        <w:rPr>
          <w:rFonts w:ascii="Tahoma" w:eastAsia="Calibri" w:hAnsi="Tahoma" w:cs="Tahoma"/>
          <w:i/>
          <w:u w:val="single"/>
          <w:lang w:eastAsia="es-ES"/>
        </w:rPr>
        <w:t xml:space="preserve">que </w:t>
      </w:r>
      <w:r w:rsidRPr="008A1BF6">
        <w:rPr>
          <w:rFonts w:ascii="Tahoma" w:eastAsia="Calibri" w:hAnsi="Tahoma" w:cs="Tahoma"/>
          <w:i/>
          <w:u w:val="single"/>
          <w:lang w:eastAsia="es-ES"/>
        </w:rPr>
        <w:t>establece los rangos y características de calidad de</w:t>
      </w:r>
      <w:r w:rsidR="000A2414">
        <w:rPr>
          <w:rFonts w:ascii="Tahoma" w:eastAsia="Calibri" w:hAnsi="Tahoma" w:cs="Tahoma"/>
          <w:i/>
          <w:u w:val="single"/>
          <w:lang w:eastAsia="es-ES"/>
        </w:rPr>
        <w:t xml:space="preserve"> </w:t>
      </w:r>
      <w:r w:rsidRPr="008A1BF6">
        <w:rPr>
          <w:rFonts w:ascii="Tahoma" w:eastAsia="Calibri" w:hAnsi="Tahoma" w:cs="Tahoma"/>
          <w:i/>
          <w:u w:val="single"/>
          <w:lang w:eastAsia="es-ES"/>
        </w:rPr>
        <w:t xml:space="preserve">gasolinas, diésel, turbosina, combustóleo </w:t>
      </w:r>
      <w:r w:rsidR="000A2414">
        <w:rPr>
          <w:rFonts w:ascii="Tahoma" w:eastAsia="Calibri" w:hAnsi="Tahoma" w:cs="Tahoma"/>
          <w:i/>
          <w:u w:val="single"/>
          <w:lang w:eastAsia="es-ES"/>
        </w:rPr>
        <w:t>y gas licuado de p</w:t>
      </w:r>
      <w:r w:rsidRPr="008A1BF6">
        <w:rPr>
          <w:rFonts w:ascii="Tahoma" w:eastAsia="Calibri" w:hAnsi="Tahoma" w:cs="Tahoma"/>
          <w:i/>
          <w:u w:val="single"/>
          <w:lang w:eastAsia="es-ES"/>
        </w:rPr>
        <w:t>etróleo</w:t>
      </w:r>
      <w:r w:rsidRPr="000D1608">
        <w:rPr>
          <w:rFonts w:ascii="Tahoma" w:eastAsia="Calibri" w:hAnsi="Tahoma" w:cs="Tahoma"/>
          <w:i/>
          <w:u w:val="single"/>
          <w:lang w:eastAsia="es-ES"/>
        </w:rPr>
        <w:t>.</w:t>
      </w:r>
    </w:p>
    <w:p w:rsidR="00164093" w:rsidRDefault="00164093" w:rsidP="00164093">
      <w:pPr>
        <w:spacing w:after="0" w:line="240" w:lineRule="auto"/>
        <w:ind w:left="851" w:right="1183"/>
        <w:jc w:val="center"/>
        <w:rPr>
          <w:rFonts w:ascii="Tahoma" w:eastAsia="Calibri" w:hAnsi="Tahoma" w:cs="Tahoma"/>
          <w:i/>
          <w:u w:val="single"/>
          <w:lang w:eastAsia="es-ES"/>
        </w:rPr>
      </w:pPr>
    </w:p>
    <w:p w:rsidR="00164093" w:rsidRPr="00E651E6" w:rsidRDefault="00164093" w:rsidP="00164093">
      <w:pPr>
        <w:spacing w:after="0" w:line="240" w:lineRule="auto"/>
        <w:ind w:left="720"/>
        <w:contextualSpacing/>
        <w:jc w:val="both"/>
        <w:rPr>
          <w:rFonts w:ascii="Tahoma" w:eastAsia="Calibri" w:hAnsi="Tahoma" w:cs="Tahoma"/>
          <w:i/>
          <w:lang w:eastAsia="es-ES"/>
        </w:rPr>
      </w:pPr>
    </w:p>
    <w:p w:rsidR="00164093" w:rsidRPr="00E651E6" w:rsidRDefault="00164093" w:rsidP="00164093">
      <w:pPr>
        <w:spacing w:after="0" w:line="240" w:lineRule="auto"/>
        <w:jc w:val="both"/>
        <w:rPr>
          <w:rFonts w:ascii="Tahoma" w:eastAsia="Calibri" w:hAnsi="Tahoma" w:cs="Tahoma"/>
          <w:lang w:eastAsia="es-ES"/>
        </w:rPr>
      </w:pPr>
    </w:p>
    <w:p w:rsidR="00164093" w:rsidRPr="00603897" w:rsidRDefault="000A2414" w:rsidP="00164093">
      <w:pPr>
        <w:spacing w:after="0" w:line="240" w:lineRule="auto"/>
        <w:jc w:val="both"/>
        <w:rPr>
          <w:rFonts w:ascii="Tahoma" w:eastAsia="Calibri" w:hAnsi="Tahoma" w:cs="Tahoma"/>
          <w:sz w:val="20"/>
          <w:szCs w:val="20"/>
          <w:lang w:eastAsia="es-ES"/>
        </w:rPr>
      </w:pPr>
      <w:r>
        <w:rPr>
          <w:rFonts w:ascii="Tahoma" w:eastAsia="Calibri" w:hAnsi="Tahoma" w:cs="Tahoma"/>
          <w:b/>
          <w:sz w:val="20"/>
          <w:szCs w:val="20"/>
          <w:lang w:eastAsia="es-ES"/>
        </w:rPr>
        <w:t>Ciudad de México, a 19</w:t>
      </w:r>
      <w:r w:rsidR="00164093" w:rsidRPr="00603897">
        <w:rPr>
          <w:rFonts w:ascii="Tahoma" w:eastAsia="Calibri" w:hAnsi="Tahoma" w:cs="Tahoma"/>
          <w:b/>
          <w:sz w:val="20"/>
          <w:szCs w:val="20"/>
          <w:lang w:eastAsia="es-ES"/>
        </w:rPr>
        <w:t xml:space="preserve"> de abril de 2016.-</w:t>
      </w:r>
      <w:r w:rsidR="00164093" w:rsidRPr="00603897">
        <w:rPr>
          <w:rFonts w:ascii="Tahoma" w:eastAsia="Calibri" w:hAnsi="Tahoma" w:cs="Tahoma"/>
          <w:sz w:val="20"/>
          <w:szCs w:val="20"/>
          <w:lang w:eastAsia="es-ES"/>
        </w:rPr>
        <w:t xml:space="preserve"> Con fecha de publicación en el Diario Oficial de la Federación del 30 de octubre de 2015, la Comisión Reguladora de Energía (CRE) emitió la Norma de emergencia NOM-EM-005-CRE-2015, Especificaciones de calidad de los petrolíferos, la cual establece los rangos y características de calidad de diversos combustibles como las gasolinas, diésel, turbosina, combustóleo y Gas Licuado de Petróleo, entre otros.</w:t>
      </w:r>
    </w:p>
    <w:p w:rsidR="00164093" w:rsidRPr="00603897" w:rsidRDefault="00164093" w:rsidP="00164093">
      <w:pPr>
        <w:spacing w:after="0" w:line="240" w:lineRule="auto"/>
        <w:jc w:val="both"/>
        <w:rPr>
          <w:rFonts w:ascii="Tahoma" w:eastAsia="Calibri" w:hAnsi="Tahoma" w:cs="Tahoma"/>
          <w:sz w:val="20"/>
          <w:szCs w:val="20"/>
          <w:lang w:eastAsia="es-ES"/>
        </w:rPr>
      </w:pPr>
    </w:p>
    <w:p w:rsidR="00164093" w:rsidRPr="00603897" w:rsidRDefault="00164093" w:rsidP="00164093">
      <w:pPr>
        <w:spacing w:after="0" w:line="240" w:lineRule="auto"/>
        <w:jc w:val="both"/>
        <w:rPr>
          <w:rFonts w:ascii="Tahoma" w:eastAsia="Calibri" w:hAnsi="Tahoma" w:cs="Tahoma"/>
          <w:lang w:eastAsia="es-ES"/>
        </w:rPr>
      </w:pPr>
      <w:r>
        <w:rPr>
          <w:rFonts w:ascii="Tahoma" w:eastAsia="Calibri" w:hAnsi="Tahoma" w:cs="Tahoma"/>
          <w:sz w:val="20"/>
          <w:szCs w:val="20"/>
          <w:lang w:eastAsia="es-ES"/>
        </w:rPr>
        <w:t>Dicha N</w:t>
      </w:r>
      <w:r w:rsidRPr="00603897">
        <w:rPr>
          <w:rFonts w:ascii="Tahoma" w:eastAsia="Calibri" w:hAnsi="Tahoma" w:cs="Tahoma"/>
          <w:sz w:val="20"/>
          <w:szCs w:val="20"/>
          <w:lang w:eastAsia="es-ES"/>
        </w:rPr>
        <w:t>orma responde a las atribuciones conferidas a la CRE en los artículos 78 y 79 de la Ley de Hidrocarburos. Dentro d</w:t>
      </w:r>
      <w:r w:rsidR="00317AE6">
        <w:rPr>
          <w:rFonts w:ascii="Tahoma" w:eastAsia="Calibri" w:hAnsi="Tahoma" w:cs="Tahoma"/>
          <w:sz w:val="20"/>
          <w:szCs w:val="20"/>
          <w:lang w:eastAsia="es-ES"/>
        </w:rPr>
        <w:t>e los principales puntos a desta</w:t>
      </w:r>
      <w:r w:rsidRPr="00603897">
        <w:rPr>
          <w:rFonts w:ascii="Tahoma" w:eastAsia="Calibri" w:hAnsi="Tahoma" w:cs="Tahoma"/>
          <w:sz w:val="20"/>
          <w:szCs w:val="20"/>
          <w:lang w:eastAsia="es-ES"/>
        </w:rPr>
        <w:t>car de la misma, se refieren a continuación los siguientes:</w:t>
      </w:r>
    </w:p>
    <w:p w:rsidR="00164093" w:rsidRPr="00603897" w:rsidRDefault="00164093" w:rsidP="00164093">
      <w:pPr>
        <w:spacing w:after="0" w:line="240" w:lineRule="auto"/>
        <w:jc w:val="both"/>
        <w:rPr>
          <w:rFonts w:ascii="Tahoma" w:eastAsia="Calibri" w:hAnsi="Tahoma" w:cs="Tahoma"/>
          <w:lang w:eastAsia="es-ES"/>
        </w:rPr>
      </w:pPr>
    </w:p>
    <w:p w:rsidR="00164093" w:rsidRPr="0044272E" w:rsidRDefault="00164093" w:rsidP="00164093">
      <w:pPr>
        <w:pStyle w:val="Prrafodelista"/>
        <w:numPr>
          <w:ilvl w:val="0"/>
          <w:numId w:val="1"/>
        </w:numPr>
        <w:jc w:val="both"/>
        <w:rPr>
          <w:rFonts w:ascii="Tahoma" w:eastAsia="Calibri" w:hAnsi="Tahoma" w:cs="Tahoma"/>
          <w:sz w:val="20"/>
        </w:rPr>
      </w:pPr>
      <w:r w:rsidRPr="00603897">
        <w:rPr>
          <w:rFonts w:ascii="Tahoma" w:eastAsia="Calibri" w:hAnsi="Tahoma" w:cs="Tahoma"/>
          <w:sz w:val="20"/>
        </w:rPr>
        <w:t xml:space="preserve">Cualquier petrolífero proveniente del extranjero, previo a su importación, debe presentar un </w:t>
      </w:r>
      <w:r>
        <w:rPr>
          <w:rFonts w:ascii="Tahoma" w:eastAsia="Calibri" w:hAnsi="Tahoma" w:cs="Tahoma"/>
          <w:sz w:val="20"/>
        </w:rPr>
        <w:t>i</w:t>
      </w:r>
      <w:r w:rsidRPr="00603897">
        <w:rPr>
          <w:rFonts w:ascii="Tahoma" w:eastAsia="Calibri" w:hAnsi="Tahoma" w:cs="Tahoma"/>
          <w:sz w:val="20"/>
        </w:rPr>
        <w:t>nforme de resultados</w:t>
      </w:r>
      <w:r>
        <w:rPr>
          <w:rFonts w:ascii="Tahoma" w:eastAsia="Calibri" w:hAnsi="Tahoma" w:cs="Tahoma"/>
          <w:sz w:val="20"/>
        </w:rPr>
        <w:t xml:space="preserve">, </w:t>
      </w:r>
      <w:r w:rsidRPr="00603897">
        <w:rPr>
          <w:rFonts w:ascii="Tahoma" w:eastAsia="Calibri" w:hAnsi="Tahoma" w:cs="Tahoma"/>
          <w:sz w:val="20"/>
        </w:rPr>
        <w:t>de conformidad con la Ley Federal sobre Metrología y Normalización</w:t>
      </w:r>
      <w:r>
        <w:rPr>
          <w:rFonts w:ascii="Tahoma" w:eastAsia="Calibri" w:hAnsi="Tahoma" w:cs="Tahoma"/>
          <w:sz w:val="20"/>
        </w:rPr>
        <w:t>,</w:t>
      </w:r>
      <w:r w:rsidRPr="0044272E">
        <w:rPr>
          <w:rFonts w:ascii="Tahoma" w:eastAsia="Calibri" w:hAnsi="Tahoma" w:cs="Tahoma"/>
          <w:sz w:val="20"/>
        </w:rPr>
        <w:t xml:space="preserve"> que evi</w:t>
      </w:r>
      <w:r w:rsidR="000A2414">
        <w:rPr>
          <w:rFonts w:ascii="Tahoma" w:eastAsia="Calibri" w:hAnsi="Tahoma" w:cs="Tahoma"/>
          <w:sz w:val="20"/>
        </w:rPr>
        <w:t>dencie el cumplimiento de la</w:t>
      </w:r>
      <w:r w:rsidRPr="0044272E">
        <w:rPr>
          <w:rFonts w:ascii="Tahoma" w:eastAsia="Calibri" w:hAnsi="Tahoma" w:cs="Tahoma"/>
          <w:sz w:val="20"/>
        </w:rPr>
        <w:t xml:space="preserve"> norma, emitido por un laboratorio de pruebas</w:t>
      </w:r>
      <w:r w:rsidR="000A2414">
        <w:rPr>
          <w:rFonts w:ascii="Tahoma" w:eastAsia="Calibri" w:hAnsi="Tahoma" w:cs="Tahoma"/>
          <w:sz w:val="20"/>
        </w:rPr>
        <w:t xml:space="preserve"> debidamente</w:t>
      </w:r>
      <w:r w:rsidRPr="0044272E">
        <w:rPr>
          <w:rFonts w:ascii="Tahoma" w:eastAsia="Calibri" w:hAnsi="Tahoma" w:cs="Tahoma"/>
          <w:sz w:val="20"/>
        </w:rPr>
        <w:t xml:space="preserve"> registrado.</w:t>
      </w:r>
    </w:p>
    <w:p w:rsidR="00164093" w:rsidRPr="00603897" w:rsidRDefault="00164093" w:rsidP="00164093">
      <w:pPr>
        <w:pStyle w:val="Prrafodelista"/>
        <w:numPr>
          <w:ilvl w:val="0"/>
          <w:numId w:val="1"/>
        </w:numPr>
        <w:jc w:val="both"/>
        <w:rPr>
          <w:rFonts w:ascii="Tahoma" w:eastAsia="Calibri" w:hAnsi="Tahoma" w:cs="Tahoma"/>
          <w:sz w:val="20"/>
        </w:rPr>
      </w:pPr>
      <w:r w:rsidRPr="00603897">
        <w:rPr>
          <w:rFonts w:ascii="Tahoma" w:eastAsia="Calibri" w:hAnsi="Tahoma" w:cs="Tahoma"/>
          <w:sz w:val="20"/>
        </w:rPr>
        <w:t xml:space="preserve">Adicionalmente, es una práctica de la industria que previo a la descarga de un petrolífero transportado por buque-tanque, carro-tanque o auto-tanque, entre otros, el importador </w:t>
      </w:r>
      <w:r w:rsidR="000A2414">
        <w:rPr>
          <w:rFonts w:ascii="Tahoma" w:eastAsia="Calibri" w:hAnsi="Tahoma" w:cs="Tahoma"/>
          <w:sz w:val="20"/>
        </w:rPr>
        <w:t xml:space="preserve">debe </w:t>
      </w:r>
      <w:r w:rsidRPr="00603897">
        <w:rPr>
          <w:rFonts w:ascii="Tahoma" w:eastAsia="Calibri" w:hAnsi="Tahoma" w:cs="Tahoma"/>
          <w:sz w:val="20"/>
        </w:rPr>
        <w:t>realiza</w:t>
      </w:r>
      <w:r w:rsidR="000A2414">
        <w:rPr>
          <w:rFonts w:ascii="Tahoma" w:eastAsia="Calibri" w:hAnsi="Tahoma" w:cs="Tahoma"/>
          <w:sz w:val="20"/>
        </w:rPr>
        <w:t>r</w:t>
      </w:r>
      <w:r w:rsidRPr="00603897">
        <w:rPr>
          <w:rFonts w:ascii="Tahoma" w:eastAsia="Calibri" w:hAnsi="Tahoma" w:cs="Tahoma"/>
          <w:sz w:val="20"/>
        </w:rPr>
        <w:t xml:space="preserve"> pruebas de calidad mediante laboratorios acreditados para verificar que dicho petrolífero n</w:t>
      </w:r>
      <w:r w:rsidR="0042118C">
        <w:rPr>
          <w:rFonts w:ascii="Tahoma" w:eastAsia="Calibri" w:hAnsi="Tahoma" w:cs="Tahoma"/>
          <w:sz w:val="20"/>
        </w:rPr>
        <w:t>o ha sido contaminado durante su</w:t>
      </w:r>
      <w:r w:rsidRPr="00603897">
        <w:rPr>
          <w:rFonts w:ascii="Tahoma" w:eastAsia="Calibri" w:hAnsi="Tahoma" w:cs="Tahoma"/>
          <w:sz w:val="20"/>
        </w:rPr>
        <w:t xml:space="preserve"> transporte.</w:t>
      </w:r>
    </w:p>
    <w:p w:rsidR="00164093" w:rsidRPr="00603897" w:rsidRDefault="00164093" w:rsidP="00164093">
      <w:pPr>
        <w:spacing w:after="0" w:line="240" w:lineRule="auto"/>
        <w:jc w:val="both"/>
        <w:rPr>
          <w:rFonts w:ascii="Tahoma" w:hAnsi="Tahoma" w:cs="Tahoma"/>
          <w:b/>
          <w:sz w:val="20"/>
          <w:szCs w:val="20"/>
        </w:rPr>
      </w:pPr>
    </w:p>
    <w:p w:rsidR="00164093" w:rsidRDefault="00164093" w:rsidP="00164093">
      <w:pPr>
        <w:spacing w:after="0" w:line="240" w:lineRule="auto"/>
        <w:jc w:val="both"/>
        <w:rPr>
          <w:rFonts w:ascii="Tahoma" w:hAnsi="Tahoma" w:cs="Tahoma"/>
          <w:sz w:val="20"/>
        </w:rPr>
      </w:pPr>
      <w:r w:rsidRPr="0044272E">
        <w:rPr>
          <w:rFonts w:ascii="Tahoma" w:hAnsi="Tahoma" w:cs="Tahoma"/>
          <w:sz w:val="20"/>
          <w:szCs w:val="20"/>
        </w:rPr>
        <w:t xml:space="preserve">Es importante recalcar que el </w:t>
      </w:r>
      <w:r>
        <w:rPr>
          <w:rFonts w:ascii="Tahoma" w:hAnsi="Tahoma" w:cs="Tahoma"/>
          <w:sz w:val="20"/>
          <w:szCs w:val="20"/>
        </w:rPr>
        <w:t>d</w:t>
      </w:r>
      <w:r w:rsidRPr="0044272E">
        <w:rPr>
          <w:rFonts w:ascii="Tahoma" w:hAnsi="Tahoma" w:cs="Tahoma"/>
          <w:sz w:val="20"/>
          <w:szCs w:val="20"/>
        </w:rPr>
        <w:t>iésel</w:t>
      </w:r>
      <w:r>
        <w:rPr>
          <w:rFonts w:ascii="Tahoma" w:hAnsi="Tahoma" w:cs="Tahoma"/>
          <w:sz w:val="20"/>
          <w:szCs w:val="20"/>
        </w:rPr>
        <w:t>, la g</w:t>
      </w:r>
      <w:r w:rsidR="0042118C">
        <w:rPr>
          <w:rFonts w:ascii="Tahoma" w:hAnsi="Tahoma" w:cs="Tahoma"/>
          <w:sz w:val="20"/>
          <w:szCs w:val="20"/>
        </w:rPr>
        <w:t>asolina y el gas l</w:t>
      </w:r>
      <w:r>
        <w:rPr>
          <w:rFonts w:ascii="Tahoma" w:hAnsi="Tahoma" w:cs="Tahoma"/>
          <w:sz w:val="20"/>
          <w:szCs w:val="20"/>
        </w:rPr>
        <w:t xml:space="preserve">icuado de </w:t>
      </w:r>
      <w:r w:rsidR="0042118C">
        <w:rPr>
          <w:rFonts w:ascii="Tahoma" w:hAnsi="Tahoma" w:cs="Tahoma"/>
          <w:sz w:val="20"/>
          <w:szCs w:val="20"/>
        </w:rPr>
        <w:t>p</w:t>
      </w:r>
      <w:r w:rsidRPr="0044272E">
        <w:rPr>
          <w:rFonts w:ascii="Tahoma" w:hAnsi="Tahoma" w:cs="Tahoma"/>
          <w:sz w:val="20"/>
          <w:szCs w:val="20"/>
        </w:rPr>
        <w:t>etróleo son producto de la refinación</w:t>
      </w:r>
      <w:r w:rsidRPr="0044272E">
        <w:rPr>
          <w:rFonts w:ascii="Tahoma" w:hAnsi="Tahoma" w:cs="Tahoma"/>
          <w:sz w:val="20"/>
        </w:rPr>
        <w:t xml:space="preserve"> del</w:t>
      </w:r>
      <w:r w:rsidR="0042118C">
        <w:rPr>
          <w:rFonts w:ascii="Tahoma" w:hAnsi="Tahoma" w:cs="Tahoma"/>
          <w:sz w:val="20"/>
        </w:rPr>
        <w:t xml:space="preserve"> petróleo, por lo que, la combustión de algunos de sus componentes, impactan de manera negativa</w:t>
      </w:r>
      <w:r>
        <w:rPr>
          <w:rFonts w:ascii="Tahoma" w:hAnsi="Tahoma" w:cs="Tahoma"/>
          <w:sz w:val="20"/>
        </w:rPr>
        <w:t xml:space="preserve"> en la calidad del aire y</w:t>
      </w:r>
      <w:r w:rsidR="0042118C">
        <w:rPr>
          <w:rFonts w:ascii="Tahoma" w:hAnsi="Tahoma" w:cs="Tahoma"/>
          <w:sz w:val="20"/>
        </w:rPr>
        <w:t>,</w:t>
      </w:r>
      <w:r>
        <w:rPr>
          <w:rFonts w:ascii="Tahoma" w:hAnsi="Tahoma" w:cs="Tahoma"/>
          <w:sz w:val="20"/>
        </w:rPr>
        <w:t xml:space="preserve"> por </w:t>
      </w:r>
      <w:r w:rsidR="0042118C">
        <w:rPr>
          <w:rFonts w:ascii="Tahoma" w:hAnsi="Tahoma" w:cs="Tahoma"/>
          <w:sz w:val="20"/>
        </w:rPr>
        <w:t xml:space="preserve">ende, en la salud de las personas. En este sentido, resulta necesario regular la calidad de estos combustibles y, </w:t>
      </w:r>
      <w:r>
        <w:rPr>
          <w:rFonts w:ascii="Tahoma" w:hAnsi="Tahoma" w:cs="Tahoma"/>
          <w:sz w:val="20"/>
        </w:rPr>
        <w:t xml:space="preserve">establecer valores límite acordes a la situación orográfica de cada región del territorio nacional. </w:t>
      </w:r>
    </w:p>
    <w:p w:rsidR="00164093" w:rsidRDefault="00164093" w:rsidP="00164093">
      <w:pPr>
        <w:spacing w:after="0" w:line="240" w:lineRule="auto"/>
        <w:jc w:val="both"/>
        <w:rPr>
          <w:rFonts w:ascii="Tahoma" w:hAnsi="Tahoma" w:cs="Tahoma"/>
          <w:sz w:val="20"/>
        </w:rPr>
      </w:pPr>
    </w:p>
    <w:p w:rsidR="00164093" w:rsidRDefault="00164093" w:rsidP="00164093">
      <w:pPr>
        <w:spacing w:after="0" w:line="240" w:lineRule="auto"/>
        <w:jc w:val="both"/>
        <w:rPr>
          <w:rFonts w:ascii="Tahoma" w:hAnsi="Tahoma" w:cs="Tahoma"/>
          <w:b/>
          <w:sz w:val="20"/>
          <w:szCs w:val="20"/>
        </w:rPr>
      </w:pPr>
      <w:r>
        <w:rPr>
          <w:rFonts w:ascii="Tahoma" w:hAnsi="Tahoma" w:cs="Tahoma"/>
          <w:sz w:val="20"/>
        </w:rPr>
        <w:t xml:space="preserve">A </w:t>
      </w:r>
      <w:proofErr w:type="gramStart"/>
      <w:r>
        <w:rPr>
          <w:rFonts w:ascii="Tahoma" w:hAnsi="Tahoma" w:cs="Tahoma"/>
          <w:sz w:val="20"/>
        </w:rPr>
        <w:t>continuación</w:t>
      </w:r>
      <w:proofErr w:type="gramEnd"/>
      <w:r>
        <w:rPr>
          <w:rFonts w:ascii="Tahoma" w:hAnsi="Tahoma" w:cs="Tahoma"/>
          <w:sz w:val="20"/>
        </w:rPr>
        <w:t xml:space="preserve"> se describen las principales acciones regulatorias en la materia, objeto de la NOM-EM-005:</w:t>
      </w:r>
    </w:p>
    <w:p w:rsidR="00164093" w:rsidRPr="00603897" w:rsidRDefault="00164093" w:rsidP="00164093">
      <w:pPr>
        <w:spacing w:after="0" w:line="240" w:lineRule="auto"/>
        <w:jc w:val="both"/>
        <w:rPr>
          <w:rFonts w:ascii="Tahoma" w:hAnsi="Tahoma" w:cs="Tahoma"/>
          <w:b/>
          <w:sz w:val="20"/>
          <w:szCs w:val="20"/>
        </w:rPr>
      </w:pPr>
    </w:p>
    <w:p w:rsidR="00164093" w:rsidRPr="00CB15CD" w:rsidRDefault="00164093" w:rsidP="00164093">
      <w:pPr>
        <w:spacing w:before="120"/>
        <w:jc w:val="both"/>
        <w:rPr>
          <w:rFonts w:ascii="Tahoma" w:hAnsi="Tahoma" w:cs="Tahoma"/>
          <w:b/>
          <w:sz w:val="20"/>
        </w:rPr>
      </w:pPr>
      <w:r w:rsidRPr="00CB15CD">
        <w:rPr>
          <w:rFonts w:ascii="Tahoma" w:hAnsi="Tahoma" w:cs="Tahoma"/>
          <w:b/>
          <w:sz w:val="20"/>
        </w:rPr>
        <w:t>Diésel:</w:t>
      </w:r>
    </w:p>
    <w:p w:rsidR="00164093" w:rsidRPr="00603897" w:rsidRDefault="00164093" w:rsidP="00164093">
      <w:pPr>
        <w:pStyle w:val="Prrafodelista"/>
        <w:numPr>
          <w:ilvl w:val="0"/>
          <w:numId w:val="2"/>
        </w:numPr>
        <w:spacing w:before="120"/>
        <w:jc w:val="both"/>
        <w:rPr>
          <w:rFonts w:ascii="Tahoma" w:hAnsi="Tahoma" w:cs="Tahoma"/>
          <w:b/>
          <w:sz w:val="20"/>
        </w:rPr>
      </w:pPr>
      <w:r w:rsidRPr="00603897">
        <w:rPr>
          <w:rFonts w:ascii="Tahoma" w:hAnsi="Tahoma" w:cs="Tahoma"/>
          <w:sz w:val="20"/>
        </w:rPr>
        <w:t>A partir del 1º de di</w:t>
      </w:r>
      <w:r>
        <w:rPr>
          <w:rFonts w:ascii="Tahoma" w:hAnsi="Tahoma" w:cs="Tahoma"/>
          <w:sz w:val="20"/>
        </w:rPr>
        <w:t>ciembre de 2015, se suministra diésel Ultra Bajo Azufre (</w:t>
      </w:r>
      <w:r w:rsidRPr="00603897">
        <w:rPr>
          <w:rFonts w:ascii="Tahoma" w:hAnsi="Tahoma" w:cs="Tahoma"/>
          <w:sz w:val="20"/>
        </w:rPr>
        <w:t>UBA)</w:t>
      </w:r>
      <w:r>
        <w:rPr>
          <w:rFonts w:ascii="Tahoma" w:hAnsi="Tahoma" w:cs="Tahoma"/>
          <w:sz w:val="20"/>
        </w:rPr>
        <w:t>, esto es, con un contenido</w:t>
      </w:r>
      <w:r w:rsidRPr="00603897">
        <w:rPr>
          <w:rFonts w:ascii="Tahoma" w:hAnsi="Tahoma" w:cs="Tahoma"/>
          <w:sz w:val="20"/>
        </w:rPr>
        <w:t xml:space="preserve"> de 15 p</w:t>
      </w:r>
      <w:r>
        <w:rPr>
          <w:rFonts w:ascii="Tahoma" w:hAnsi="Tahoma" w:cs="Tahoma"/>
          <w:sz w:val="20"/>
        </w:rPr>
        <w:t>artes por millón (p</w:t>
      </w:r>
      <w:r w:rsidRPr="00603897">
        <w:rPr>
          <w:rFonts w:ascii="Tahoma" w:hAnsi="Tahoma" w:cs="Tahoma"/>
          <w:sz w:val="20"/>
        </w:rPr>
        <w:t>pm</w:t>
      </w:r>
      <w:r>
        <w:rPr>
          <w:rFonts w:ascii="Tahoma" w:hAnsi="Tahoma" w:cs="Tahoma"/>
          <w:sz w:val="20"/>
        </w:rPr>
        <w:t>)</w:t>
      </w:r>
      <w:r w:rsidRPr="00603897">
        <w:rPr>
          <w:rFonts w:ascii="Tahoma" w:hAnsi="Tahoma" w:cs="Tahoma"/>
          <w:sz w:val="20"/>
        </w:rPr>
        <w:t xml:space="preserve"> </w:t>
      </w:r>
      <w:r>
        <w:rPr>
          <w:rFonts w:ascii="Tahoma" w:hAnsi="Tahoma" w:cs="Tahoma"/>
          <w:sz w:val="20"/>
        </w:rPr>
        <w:t xml:space="preserve">de </w:t>
      </w:r>
      <w:r w:rsidRPr="00603897">
        <w:rPr>
          <w:rFonts w:ascii="Tahoma" w:hAnsi="Tahoma" w:cs="Tahoma"/>
          <w:sz w:val="20"/>
        </w:rPr>
        <w:t>a</w:t>
      </w:r>
      <w:r>
        <w:rPr>
          <w:rFonts w:ascii="Tahoma" w:hAnsi="Tahoma" w:cs="Tahoma"/>
          <w:sz w:val="20"/>
        </w:rPr>
        <w:t>zufre, a 11 c</w:t>
      </w:r>
      <w:r w:rsidRPr="00603897">
        <w:rPr>
          <w:rFonts w:ascii="Tahoma" w:hAnsi="Tahoma" w:cs="Tahoma"/>
          <w:sz w:val="20"/>
        </w:rPr>
        <w:t>orredores</w:t>
      </w:r>
      <w:r>
        <w:rPr>
          <w:rFonts w:ascii="Tahoma" w:hAnsi="Tahoma" w:cs="Tahoma"/>
          <w:sz w:val="20"/>
        </w:rPr>
        <w:t xml:space="preserve"> carreteros que </w:t>
      </w:r>
      <w:r>
        <w:rPr>
          <w:rFonts w:ascii="Tahoma" w:hAnsi="Tahoma" w:cs="Tahoma"/>
          <w:sz w:val="20"/>
        </w:rPr>
        <w:lastRenderedPageBreak/>
        <w:t>conforman</w:t>
      </w:r>
      <w:r w:rsidRPr="00603897">
        <w:rPr>
          <w:rFonts w:ascii="Tahoma" w:hAnsi="Tahoma" w:cs="Tahoma"/>
          <w:sz w:val="20"/>
        </w:rPr>
        <w:t xml:space="preserve"> 10,000 km de carreteras en todo el país y los Municipios adyacentes a esas vías de comunicación. </w:t>
      </w:r>
      <w:r w:rsidR="002D5D8D">
        <w:rPr>
          <w:rFonts w:ascii="Tahoma" w:hAnsi="Tahoma" w:cs="Tahoma"/>
          <w:sz w:val="20"/>
        </w:rPr>
        <w:t>Esta medida busca reducir</w:t>
      </w:r>
      <w:r>
        <w:rPr>
          <w:rFonts w:ascii="Tahoma" w:hAnsi="Tahoma" w:cs="Tahoma"/>
          <w:sz w:val="20"/>
        </w:rPr>
        <w:t xml:space="preserve"> sustancialmente la emisión de </w:t>
      </w:r>
      <w:r w:rsidR="002D5D8D">
        <w:rPr>
          <w:rFonts w:ascii="Tahoma" w:hAnsi="Tahoma" w:cs="Tahoma"/>
          <w:sz w:val="20"/>
        </w:rPr>
        <w:t>óxidos de azufre (</w:t>
      </w:r>
      <w:proofErr w:type="spellStart"/>
      <w:r>
        <w:rPr>
          <w:rFonts w:ascii="Tahoma" w:hAnsi="Tahoma" w:cs="Tahoma"/>
          <w:sz w:val="20"/>
        </w:rPr>
        <w:t>SOx</w:t>
      </w:r>
      <w:proofErr w:type="spellEnd"/>
      <w:r w:rsidR="002D5D8D">
        <w:rPr>
          <w:rFonts w:ascii="Tahoma" w:hAnsi="Tahoma" w:cs="Tahoma"/>
          <w:sz w:val="20"/>
        </w:rPr>
        <w:t>) y,</w:t>
      </w:r>
      <w:r>
        <w:rPr>
          <w:rFonts w:ascii="Tahoma" w:hAnsi="Tahoma" w:cs="Tahoma"/>
          <w:sz w:val="20"/>
        </w:rPr>
        <w:t xml:space="preserve"> </w:t>
      </w:r>
      <w:r w:rsidRPr="00E53A7F">
        <w:rPr>
          <w:rFonts w:ascii="Tahoma" w:hAnsi="Tahoma" w:cs="Tahoma"/>
          <w:sz w:val="20"/>
        </w:rPr>
        <w:t>partículas PM</w:t>
      </w:r>
      <w:r w:rsidRPr="00F57B5C">
        <w:rPr>
          <w:rFonts w:ascii="Tahoma" w:hAnsi="Tahoma" w:cs="Tahoma"/>
          <w:sz w:val="20"/>
          <w:vertAlign w:val="subscript"/>
        </w:rPr>
        <w:t>10</w:t>
      </w:r>
      <w:r w:rsidRPr="00E53A7F">
        <w:rPr>
          <w:rFonts w:ascii="Tahoma" w:hAnsi="Tahoma" w:cs="Tahoma"/>
          <w:sz w:val="20"/>
        </w:rPr>
        <w:t xml:space="preserve"> y PM</w:t>
      </w:r>
      <w:r w:rsidRPr="00F57B5C">
        <w:rPr>
          <w:rFonts w:ascii="Tahoma" w:hAnsi="Tahoma" w:cs="Tahoma"/>
          <w:sz w:val="20"/>
          <w:vertAlign w:val="subscript"/>
        </w:rPr>
        <w:t>2.5</w:t>
      </w:r>
      <w:r w:rsidRPr="00E53A7F">
        <w:rPr>
          <w:rFonts w:ascii="Tahoma" w:hAnsi="Tahoma" w:cs="Tahoma"/>
          <w:sz w:val="20"/>
        </w:rPr>
        <w:t xml:space="preserve"> </w:t>
      </w:r>
      <w:r>
        <w:rPr>
          <w:rFonts w:ascii="Tahoma" w:hAnsi="Tahoma" w:cs="Tahoma"/>
          <w:sz w:val="20"/>
        </w:rPr>
        <w:t>a la atmósfera, relacionados a afecciones respir</w:t>
      </w:r>
      <w:r w:rsidR="002D5D8D">
        <w:rPr>
          <w:rFonts w:ascii="Tahoma" w:hAnsi="Tahoma" w:cs="Tahoma"/>
          <w:sz w:val="20"/>
        </w:rPr>
        <w:t xml:space="preserve">atorias y cardiacas. </w:t>
      </w:r>
    </w:p>
    <w:p w:rsidR="00164093" w:rsidRPr="00603897" w:rsidRDefault="00164093" w:rsidP="00164093">
      <w:pPr>
        <w:spacing w:after="0" w:line="240" w:lineRule="auto"/>
        <w:jc w:val="both"/>
        <w:rPr>
          <w:rFonts w:ascii="Tahoma" w:hAnsi="Tahoma" w:cs="Tahoma"/>
          <w:b/>
          <w:sz w:val="20"/>
          <w:szCs w:val="20"/>
        </w:rPr>
      </w:pPr>
    </w:p>
    <w:p w:rsidR="00164093" w:rsidRDefault="00164093" w:rsidP="00164093">
      <w:pPr>
        <w:spacing w:after="0" w:line="240" w:lineRule="auto"/>
        <w:jc w:val="both"/>
        <w:rPr>
          <w:rFonts w:ascii="Tahoma" w:hAnsi="Tahoma" w:cs="Tahoma"/>
          <w:b/>
          <w:sz w:val="20"/>
          <w:szCs w:val="20"/>
        </w:rPr>
      </w:pPr>
      <w:r>
        <w:rPr>
          <w:rFonts w:ascii="Tahoma" w:hAnsi="Tahoma" w:cs="Tahoma"/>
          <w:b/>
          <w:sz w:val="20"/>
          <w:szCs w:val="20"/>
        </w:rPr>
        <w:t xml:space="preserve">Gasolinas </w:t>
      </w:r>
    </w:p>
    <w:p w:rsidR="002D5D8D" w:rsidRDefault="002D5D8D" w:rsidP="00164093">
      <w:pPr>
        <w:spacing w:after="0" w:line="240" w:lineRule="auto"/>
        <w:jc w:val="both"/>
        <w:rPr>
          <w:rFonts w:ascii="Tahoma" w:hAnsi="Tahoma" w:cs="Tahoma"/>
          <w:b/>
          <w:sz w:val="20"/>
          <w:szCs w:val="20"/>
        </w:rPr>
      </w:pPr>
    </w:p>
    <w:p w:rsidR="002D5D8D" w:rsidRDefault="002D5D8D" w:rsidP="00164093">
      <w:pPr>
        <w:spacing w:after="0" w:line="240" w:lineRule="auto"/>
        <w:jc w:val="both"/>
        <w:rPr>
          <w:rFonts w:ascii="Tahoma" w:hAnsi="Tahoma" w:cs="Tahoma"/>
          <w:sz w:val="20"/>
          <w:szCs w:val="20"/>
        </w:rPr>
      </w:pPr>
      <w:r>
        <w:rPr>
          <w:rFonts w:ascii="Tahoma" w:hAnsi="Tahoma" w:cs="Tahoma"/>
          <w:sz w:val="20"/>
          <w:szCs w:val="20"/>
        </w:rPr>
        <w:t>A partir del 31 de enero de 2016, toda la gasolina en México debe cumplir con las siguientes especificaciones:</w:t>
      </w:r>
    </w:p>
    <w:p w:rsidR="002D5D8D" w:rsidRPr="002D5D8D" w:rsidRDefault="002D5D8D" w:rsidP="00164093">
      <w:pPr>
        <w:spacing w:after="0" w:line="240" w:lineRule="auto"/>
        <w:jc w:val="both"/>
        <w:rPr>
          <w:rFonts w:ascii="Tahoma" w:hAnsi="Tahoma" w:cs="Tahoma"/>
          <w:sz w:val="20"/>
          <w:szCs w:val="20"/>
        </w:rPr>
      </w:pPr>
      <w:r>
        <w:rPr>
          <w:rFonts w:ascii="Tahoma" w:hAnsi="Tahoma" w:cs="Tahoma"/>
          <w:b/>
          <w:sz w:val="20"/>
          <w:szCs w:val="20"/>
        </w:rPr>
        <w:t xml:space="preserve"> </w:t>
      </w:r>
    </w:p>
    <w:p w:rsidR="00164093" w:rsidRPr="00603897" w:rsidRDefault="002D5D8D" w:rsidP="00164093">
      <w:pPr>
        <w:pStyle w:val="Prrafodelista"/>
        <w:numPr>
          <w:ilvl w:val="0"/>
          <w:numId w:val="2"/>
        </w:numPr>
        <w:spacing w:before="120"/>
        <w:jc w:val="both"/>
        <w:rPr>
          <w:rFonts w:ascii="Tahoma" w:hAnsi="Tahoma" w:cs="Tahoma"/>
          <w:sz w:val="20"/>
        </w:rPr>
      </w:pPr>
      <w:r>
        <w:rPr>
          <w:rFonts w:ascii="Tahoma" w:hAnsi="Tahoma" w:cs="Tahoma"/>
          <w:sz w:val="20"/>
        </w:rPr>
        <w:t>Ser</w:t>
      </w:r>
      <w:r w:rsidR="00164093">
        <w:rPr>
          <w:rFonts w:ascii="Tahoma" w:hAnsi="Tahoma" w:cs="Tahoma"/>
          <w:sz w:val="20"/>
        </w:rPr>
        <w:t xml:space="preserve"> UBA, esto es, </w:t>
      </w:r>
      <w:r>
        <w:rPr>
          <w:rFonts w:ascii="Tahoma" w:hAnsi="Tahoma" w:cs="Tahoma"/>
          <w:sz w:val="20"/>
        </w:rPr>
        <w:t xml:space="preserve">su contenido de azufre debe ser de 30 ppm en promedio, sin rebasar </w:t>
      </w:r>
      <w:r w:rsidR="00164093" w:rsidRPr="00603897">
        <w:rPr>
          <w:rFonts w:ascii="Tahoma" w:hAnsi="Tahoma" w:cs="Tahoma"/>
          <w:sz w:val="20"/>
        </w:rPr>
        <w:t>un máximo de 80 ppm (anteriormente se permitía 1000 ppm en gasolina magna)</w:t>
      </w:r>
    </w:p>
    <w:p w:rsidR="00164093" w:rsidRPr="00603897" w:rsidRDefault="00164093" w:rsidP="00164093">
      <w:pPr>
        <w:pStyle w:val="Prrafodelista"/>
        <w:numPr>
          <w:ilvl w:val="0"/>
          <w:numId w:val="2"/>
        </w:numPr>
        <w:spacing w:before="120"/>
        <w:jc w:val="both"/>
        <w:rPr>
          <w:rFonts w:ascii="Tahoma" w:hAnsi="Tahoma" w:cs="Tahoma"/>
          <w:sz w:val="20"/>
        </w:rPr>
      </w:pPr>
      <w:r w:rsidRPr="00603897">
        <w:rPr>
          <w:rFonts w:ascii="Tahoma" w:hAnsi="Tahoma" w:cs="Tahoma"/>
          <w:sz w:val="20"/>
        </w:rPr>
        <w:t xml:space="preserve">El contenido </w:t>
      </w:r>
      <w:r w:rsidR="002D5D8D">
        <w:rPr>
          <w:rFonts w:ascii="Tahoma" w:hAnsi="Tahoma" w:cs="Tahoma"/>
          <w:sz w:val="20"/>
        </w:rPr>
        <w:t>máximo de aromáticos se redujo</w:t>
      </w:r>
      <w:r w:rsidR="00817356">
        <w:rPr>
          <w:rFonts w:ascii="Tahoma" w:hAnsi="Tahoma" w:cs="Tahoma"/>
          <w:sz w:val="20"/>
        </w:rPr>
        <w:t xml:space="preserve"> de 35% a 32% </w:t>
      </w:r>
      <w:r w:rsidRPr="00603897">
        <w:rPr>
          <w:rFonts w:ascii="Tahoma" w:hAnsi="Tahoma" w:cs="Tahoma"/>
          <w:sz w:val="20"/>
        </w:rPr>
        <w:t xml:space="preserve">en todo el país con excepción de la Zona Metropolitana del Valle de México (ZMVM), donde el valor </w:t>
      </w:r>
      <w:r w:rsidR="00817356">
        <w:rPr>
          <w:rFonts w:ascii="Tahoma" w:hAnsi="Tahoma" w:cs="Tahoma"/>
          <w:sz w:val="20"/>
        </w:rPr>
        <w:t>máximo es 25%.</w:t>
      </w:r>
    </w:p>
    <w:p w:rsidR="00164093" w:rsidRDefault="00817356" w:rsidP="00164093">
      <w:pPr>
        <w:pStyle w:val="Prrafodelista"/>
        <w:numPr>
          <w:ilvl w:val="0"/>
          <w:numId w:val="2"/>
        </w:numPr>
        <w:spacing w:before="120"/>
        <w:jc w:val="both"/>
        <w:rPr>
          <w:rFonts w:ascii="Tahoma" w:hAnsi="Tahoma" w:cs="Tahoma"/>
          <w:sz w:val="20"/>
        </w:rPr>
      </w:pPr>
      <w:r>
        <w:rPr>
          <w:rFonts w:ascii="Tahoma" w:hAnsi="Tahoma" w:cs="Tahoma"/>
          <w:sz w:val="20"/>
        </w:rPr>
        <w:t xml:space="preserve">El contenido máximo de </w:t>
      </w:r>
      <w:r w:rsidR="00164093" w:rsidRPr="006079CD">
        <w:rPr>
          <w:rFonts w:ascii="Tahoma" w:hAnsi="Tahoma" w:cs="Tahoma"/>
          <w:sz w:val="20"/>
        </w:rPr>
        <w:t xml:space="preserve">olefinas, </w:t>
      </w:r>
      <w:r>
        <w:rPr>
          <w:rFonts w:ascii="Tahoma" w:hAnsi="Tahoma" w:cs="Tahoma"/>
          <w:sz w:val="20"/>
        </w:rPr>
        <w:t>precursores</w:t>
      </w:r>
      <w:r w:rsidR="00164093">
        <w:rPr>
          <w:rFonts w:ascii="Tahoma" w:hAnsi="Tahoma" w:cs="Tahoma"/>
          <w:sz w:val="20"/>
        </w:rPr>
        <w:t xml:space="preserve"> de ozono troposférico</w:t>
      </w:r>
      <w:r>
        <w:rPr>
          <w:rFonts w:ascii="Tahoma" w:hAnsi="Tahoma" w:cs="Tahoma"/>
          <w:sz w:val="20"/>
        </w:rPr>
        <w:t xml:space="preserve"> y, dañinas</w:t>
      </w:r>
      <w:r w:rsidR="00164093">
        <w:rPr>
          <w:rFonts w:ascii="Tahoma" w:hAnsi="Tahoma" w:cs="Tahoma"/>
          <w:sz w:val="20"/>
        </w:rPr>
        <w:t xml:space="preserve"> para la salud de las personas,</w:t>
      </w:r>
      <w:r>
        <w:rPr>
          <w:rFonts w:ascii="Tahoma" w:hAnsi="Tahoma" w:cs="Tahoma"/>
          <w:sz w:val="20"/>
        </w:rPr>
        <w:t xml:space="preserve"> se redujo</w:t>
      </w:r>
      <w:r w:rsidR="00164093" w:rsidRPr="006079CD">
        <w:rPr>
          <w:rFonts w:ascii="Tahoma" w:hAnsi="Tahoma" w:cs="Tahoma"/>
          <w:sz w:val="20"/>
        </w:rPr>
        <w:t xml:space="preserve"> de 12.5% a 11.9% en las Zonas Metropolitanas de Guadalajara y Monterrey; en el resto del país </w:t>
      </w:r>
      <w:r>
        <w:rPr>
          <w:rFonts w:ascii="Tahoma" w:hAnsi="Tahoma" w:cs="Tahoma"/>
          <w:sz w:val="20"/>
        </w:rPr>
        <w:t xml:space="preserve">el porcentaje máximo disminuyó </w:t>
      </w:r>
      <w:r w:rsidR="00164093" w:rsidRPr="006079CD">
        <w:rPr>
          <w:rFonts w:ascii="Tahoma" w:hAnsi="Tahoma" w:cs="Tahoma"/>
          <w:sz w:val="20"/>
        </w:rPr>
        <w:t>de 15% a 12.5%</w:t>
      </w:r>
      <w:r>
        <w:rPr>
          <w:rFonts w:ascii="Tahoma" w:hAnsi="Tahoma" w:cs="Tahoma"/>
          <w:sz w:val="20"/>
        </w:rPr>
        <w:t xml:space="preserve"> y</w:t>
      </w:r>
      <w:r w:rsidR="00164093" w:rsidRPr="006079CD">
        <w:rPr>
          <w:rFonts w:ascii="Tahoma" w:hAnsi="Tahoma" w:cs="Tahoma"/>
          <w:sz w:val="20"/>
        </w:rPr>
        <w:t xml:space="preserve">, en la ZMVM continúa </w:t>
      </w:r>
      <w:r>
        <w:rPr>
          <w:rFonts w:ascii="Tahoma" w:hAnsi="Tahoma" w:cs="Tahoma"/>
          <w:sz w:val="20"/>
        </w:rPr>
        <w:t>en 10%</w:t>
      </w:r>
      <w:r w:rsidR="00164093" w:rsidRPr="006079CD">
        <w:rPr>
          <w:rFonts w:ascii="Tahoma" w:hAnsi="Tahoma" w:cs="Tahoma"/>
          <w:sz w:val="20"/>
        </w:rPr>
        <w:t xml:space="preserve">. </w:t>
      </w:r>
    </w:p>
    <w:p w:rsidR="00164093" w:rsidRPr="006079CD" w:rsidRDefault="00164093" w:rsidP="00164093">
      <w:pPr>
        <w:pStyle w:val="Prrafodelista"/>
        <w:numPr>
          <w:ilvl w:val="0"/>
          <w:numId w:val="2"/>
        </w:numPr>
        <w:spacing w:before="120"/>
        <w:jc w:val="both"/>
        <w:rPr>
          <w:rFonts w:ascii="Tahoma" w:hAnsi="Tahoma" w:cs="Tahoma"/>
          <w:sz w:val="20"/>
        </w:rPr>
      </w:pPr>
      <w:r w:rsidRPr="006079CD">
        <w:rPr>
          <w:rFonts w:ascii="Tahoma" w:hAnsi="Tahoma" w:cs="Tahoma"/>
          <w:sz w:val="20"/>
        </w:rPr>
        <w:t>El porcentaje de benceno, componente potencia</w:t>
      </w:r>
      <w:r w:rsidR="00817356">
        <w:rPr>
          <w:rFonts w:ascii="Tahoma" w:hAnsi="Tahoma" w:cs="Tahoma"/>
          <w:sz w:val="20"/>
        </w:rPr>
        <w:t>lmente cancerígeno, se fijó en 1% vol. para</w:t>
      </w:r>
      <w:r w:rsidRPr="006079CD">
        <w:rPr>
          <w:rFonts w:ascii="Tahoma" w:hAnsi="Tahoma" w:cs="Tahoma"/>
          <w:sz w:val="20"/>
        </w:rPr>
        <w:t xml:space="preserve"> las Zonas metropolitanas de México, Monterrey y Guadalajara y</w:t>
      </w:r>
      <w:r w:rsidR="00817356">
        <w:rPr>
          <w:rFonts w:ascii="Tahoma" w:hAnsi="Tahoma" w:cs="Tahoma"/>
          <w:sz w:val="20"/>
        </w:rPr>
        <w:t>, se redujo</w:t>
      </w:r>
      <w:r w:rsidRPr="006079CD">
        <w:rPr>
          <w:rFonts w:ascii="Tahoma" w:hAnsi="Tahoma" w:cs="Tahoma"/>
          <w:sz w:val="20"/>
        </w:rPr>
        <w:t xml:space="preserve"> de 3% a 2% máximo en el resto del país.</w:t>
      </w:r>
    </w:p>
    <w:p w:rsidR="00164093" w:rsidRPr="003C0CC0" w:rsidRDefault="00164093" w:rsidP="00164093">
      <w:pPr>
        <w:rPr>
          <w:rFonts w:ascii="Tahoma" w:hAnsi="Tahoma" w:cs="Tahoma"/>
          <w:sz w:val="20"/>
        </w:rPr>
      </w:pPr>
    </w:p>
    <w:p w:rsidR="00164093" w:rsidRPr="00603897" w:rsidRDefault="00164093" w:rsidP="00164093">
      <w:pPr>
        <w:spacing w:after="0" w:line="240" w:lineRule="auto"/>
        <w:jc w:val="both"/>
        <w:rPr>
          <w:rFonts w:ascii="Tahoma" w:hAnsi="Tahoma" w:cs="Tahoma"/>
          <w:b/>
          <w:sz w:val="20"/>
          <w:szCs w:val="20"/>
        </w:rPr>
      </w:pPr>
      <w:r w:rsidRPr="00603897">
        <w:rPr>
          <w:rFonts w:ascii="Tahoma" w:hAnsi="Tahoma" w:cs="Tahoma"/>
          <w:b/>
          <w:sz w:val="20"/>
          <w:szCs w:val="20"/>
        </w:rPr>
        <w:t>GLP</w:t>
      </w:r>
    </w:p>
    <w:p w:rsidR="00164093" w:rsidRPr="00603897" w:rsidRDefault="00164093" w:rsidP="00164093">
      <w:pPr>
        <w:spacing w:after="0" w:line="240" w:lineRule="auto"/>
        <w:jc w:val="both"/>
        <w:rPr>
          <w:rFonts w:ascii="Tahoma" w:hAnsi="Tahoma" w:cs="Tahoma"/>
          <w:b/>
          <w:sz w:val="20"/>
          <w:szCs w:val="20"/>
        </w:rPr>
      </w:pPr>
    </w:p>
    <w:p w:rsidR="00164093" w:rsidRDefault="00164093" w:rsidP="00164093">
      <w:pPr>
        <w:pStyle w:val="Prrafodelista"/>
        <w:numPr>
          <w:ilvl w:val="0"/>
          <w:numId w:val="2"/>
        </w:numPr>
        <w:jc w:val="both"/>
        <w:rPr>
          <w:rFonts w:ascii="Tahoma" w:hAnsi="Tahoma" w:cs="Tahoma"/>
          <w:sz w:val="20"/>
        </w:rPr>
      </w:pPr>
      <w:r w:rsidRPr="00603897">
        <w:rPr>
          <w:rFonts w:ascii="Tahoma" w:hAnsi="Tahoma" w:cs="Tahoma"/>
          <w:sz w:val="20"/>
        </w:rPr>
        <w:t>La concentración máxima de 2.0% de olefinas</w:t>
      </w:r>
      <w:r>
        <w:rPr>
          <w:rFonts w:ascii="Tahoma" w:hAnsi="Tahoma" w:cs="Tahoma"/>
          <w:sz w:val="20"/>
        </w:rPr>
        <w:t xml:space="preserve">, </w:t>
      </w:r>
      <w:r w:rsidR="00817356">
        <w:rPr>
          <w:rFonts w:ascii="Tahoma" w:hAnsi="Tahoma" w:cs="Tahoma"/>
          <w:sz w:val="20"/>
        </w:rPr>
        <w:t>aplicable a</w:t>
      </w:r>
      <w:r w:rsidRPr="00603897">
        <w:rPr>
          <w:rFonts w:ascii="Tahoma" w:hAnsi="Tahoma" w:cs="Tahoma"/>
          <w:sz w:val="20"/>
        </w:rPr>
        <w:t xml:space="preserve"> la Cd. de México,</w:t>
      </w:r>
      <w:r w:rsidR="00817356">
        <w:rPr>
          <w:rFonts w:ascii="Tahoma" w:hAnsi="Tahoma" w:cs="Tahoma"/>
          <w:sz w:val="20"/>
        </w:rPr>
        <w:t xml:space="preserve"> se extendió</w:t>
      </w:r>
      <w:r w:rsidRPr="00603897">
        <w:rPr>
          <w:rFonts w:ascii="Tahoma" w:hAnsi="Tahoma" w:cs="Tahoma"/>
          <w:sz w:val="20"/>
        </w:rPr>
        <w:t xml:space="preserve"> a las ciudades de Puebla, Toluca, Querétaro y Monterrey</w:t>
      </w:r>
      <w:r>
        <w:rPr>
          <w:rFonts w:ascii="Tahoma" w:hAnsi="Tahoma" w:cs="Tahoma"/>
          <w:sz w:val="20"/>
        </w:rPr>
        <w:t>.</w:t>
      </w:r>
    </w:p>
    <w:p w:rsidR="00164093" w:rsidRPr="00603897" w:rsidRDefault="00164093" w:rsidP="00164093">
      <w:pPr>
        <w:spacing w:after="0" w:line="240" w:lineRule="auto"/>
        <w:jc w:val="both"/>
        <w:rPr>
          <w:rFonts w:ascii="Tahoma" w:eastAsia="Calibri" w:hAnsi="Tahoma" w:cs="Tahoma"/>
          <w:lang w:eastAsia="es-ES"/>
        </w:rPr>
      </w:pPr>
    </w:p>
    <w:p w:rsidR="00164093" w:rsidRPr="00C9322B" w:rsidRDefault="00150480" w:rsidP="00164093">
      <w:pPr>
        <w:spacing w:after="0" w:line="240" w:lineRule="auto"/>
        <w:jc w:val="both"/>
        <w:rPr>
          <w:rFonts w:ascii="Tahoma" w:eastAsia="Calibri" w:hAnsi="Tahoma" w:cs="Tahoma"/>
          <w:sz w:val="20"/>
          <w:szCs w:val="20"/>
          <w:lang w:eastAsia="es-ES"/>
        </w:rPr>
      </w:pPr>
      <w:r>
        <w:rPr>
          <w:rFonts w:ascii="Tahoma" w:eastAsia="Calibri" w:hAnsi="Tahoma" w:cs="Tahoma"/>
          <w:sz w:val="20"/>
          <w:szCs w:val="20"/>
          <w:lang w:eastAsia="es-ES"/>
        </w:rPr>
        <w:t>Las especificaciones que establece la NOM-EM-005 han resultado en que las gasolinas que se comercializan en la ZMVM deben cumplir estándares más estrictos que los que requiere Estados Unidos (EU), tal como se muestra en las siguientes tablas.</w:t>
      </w:r>
    </w:p>
    <w:p w:rsidR="00164093" w:rsidRPr="00603897" w:rsidRDefault="00164093" w:rsidP="00164093">
      <w:pPr>
        <w:spacing w:after="0" w:line="240" w:lineRule="auto"/>
        <w:jc w:val="both"/>
        <w:rPr>
          <w:rFonts w:ascii="Tahoma" w:eastAsia="Calibri" w:hAnsi="Tahoma" w:cs="Tahoma"/>
          <w:lang w:eastAsia="es-ES"/>
        </w:rPr>
      </w:pPr>
    </w:p>
    <w:p w:rsidR="00164093" w:rsidRPr="00603897" w:rsidRDefault="00164093" w:rsidP="00164093">
      <w:pPr>
        <w:spacing w:after="0" w:line="240" w:lineRule="auto"/>
        <w:jc w:val="both"/>
        <w:rPr>
          <w:rFonts w:ascii="Tahoma" w:hAnsi="Tahoma" w:cs="Tahoma"/>
          <w:sz w:val="18"/>
        </w:rPr>
      </w:pPr>
      <w:r w:rsidRPr="00603897">
        <w:rPr>
          <w:rFonts w:ascii="Tahoma" w:hAnsi="Tahoma" w:cs="Tahoma"/>
          <w:sz w:val="18"/>
        </w:rPr>
        <w:t>Cuadro comparativo de la gasolina Regular d</w:t>
      </w:r>
      <w:r w:rsidR="00150480">
        <w:rPr>
          <w:rFonts w:ascii="Tahoma" w:hAnsi="Tahoma" w:cs="Tahoma"/>
          <w:sz w:val="18"/>
        </w:rPr>
        <w:t>isponible en la ZMVM</w:t>
      </w:r>
      <w:r w:rsidRPr="00603897">
        <w:rPr>
          <w:rFonts w:ascii="Tahoma" w:hAnsi="Tahoma" w:cs="Tahoma"/>
          <w:sz w:val="18"/>
        </w:rPr>
        <w:t xml:space="preserve"> con los combustibles equivalentes d</w:t>
      </w:r>
      <w:r w:rsidR="009B327A">
        <w:rPr>
          <w:rFonts w:ascii="Tahoma" w:hAnsi="Tahoma" w:cs="Tahoma"/>
          <w:sz w:val="18"/>
        </w:rPr>
        <w:t>e (EU</w:t>
      </w:r>
      <w:r w:rsidRPr="00603897">
        <w:rPr>
          <w:rFonts w:ascii="Tahoma" w:hAnsi="Tahoma" w:cs="Tahoma"/>
          <w:sz w:val="18"/>
        </w:rPr>
        <w:t>).</w:t>
      </w:r>
    </w:p>
    <w:p w:rsidR="00164093" w:rsidRPr="00603897" w:rsidRDefault="00164093" w:rsidP="00164093">
      <w:pPr>
        <w:spacing w:after="0" w:line="240" w:lineRule="auto"/>
        <w:jc w:val="both"/>
        <w:rPr>
          <w:rFonts w:ascii="Arial" w:hAnsi="Arial" w:cs="Arial"/>
          <w:sz w:val="18"/>
        </w:rPr>
      </w:pPr>
    </w:p>
    <w:tbl>
      <w:tblPr>
        <w:tblStyle w:val="Tablaconcuadrcula"/>
        <w:tblW w:w="0" w:type="auto"/>
        <w:jc w:val="center"/>
        <w:tblLook w:val="04A0" w:firstRow="1" w:lastRow="0" w:firstColumn="1" w:lastColumn="0" w:noHBand="0" w:noVBand="1"/>
      </w:tblPr>
      <w:tblGrid>
        <w:gridCol w:w="1413"/>
        <w:gridCol w:w="3001"/>
        <w:gridCol w:w="2207"/>
      </w:tblGrid>
      <w:tr w:rsidR="00164093" w:rsidRPr="002153FC" w:rsidTr="000E005E">
        <w:trPr>
          <w:jc w:val="center"/>
        </w:trPr>
        <w:tc>
          <w:tcPr>
            <w:tcW w:w="1413" w:type="dxa"/>
          </w:tcPr>
          <w:p w:rsidR="00164093" w:rsidRPr="002153FC" w:rsidRDefault="00164093" w:rsidP="000E005E">
            <w:pPr>
              <w:jc w:val="both"/>
              <w:rPr>
                <w:rFonts w:ascii="Arial" w:hAnsi="Arial" w:cs="Arial"/>
                <w:b/>
                <w:sz w:val="18"/>
                <w:szCs w:val="18"/>
              </w:rPr>
            </w:pPr>
            <w:r w:rsidRPr="002153FC">
              <w:rPr>
                <w:rFonts w:ascii="Arial" w:hAnsi="Arial" w:cs="Arial"/>
                <w:b/>
                <w:sz w:val="18"/>
                <w:szCs w:val="18"/>
              </w:rPr>
              <w:t>Propiedad</w:t>
            </w:r>
          </w:p>
        </w:tc>
        <w:tc>
          <w:tcPr>
            <w:tcW w:w="3001" w:type="dxa"/>
          </w:tcPr>
          <w:p w:rsidR="00164093" w:rsidRPr="002153FC" w:rsidRDefault="00164093" w:rsidP="000E005E">
            <w:pPr>
              <w:jc w:val="center"/>
              <w:rPr>
                <w:rFonts w:ascii="Arial" w:hAnsi="Arial" w:cs="Arial"/>
                <w:b/>
                <w:sz w:val="18"/>
                <w:szCs w:val="18"/>
              </w:rPr>
            </w:pPr>
            <w:r w:rsidRPr="002153FC">
              <w:rPr>
                <w:rFonts w:ascii="Arial" w:hAnsi="Arial" w:cs="Arial"/>
                <w:b/>
                <w:sz w:val="18"/>
                <w:szCs w:val="18"/>
              </w:rPr>
              <w:t>NOM-EM-005</w:t>
            </w:r>
          </w:p>
        </w:tc>
        <w:tc>
          <w:tcPr>
            <w:tcW w:w="2207" w:type="dxa"/>
          </w:tcPr>
          <w:p w:rsidR="00164093" w:rsidRPr="002153FC" w:rsidRDefault="00164093" w:rsidP="000E005E">
            <w:pPr>
              <w:jc w:val="center"/>
              <w:rPr>
                <w:rFonts w:ascii="Arial" w:hAnsi="Arial" w:cs="Arial"/>
                <w:b/>
                <w:sz w:val="18"/>
                <w:szCs w:val="18"/>
                <w:vertAlign w:val="superscript"/>
              </w:rPr>
            </w:pPr>
            <w:r w:rsidRPr="002153FC">
              <w:rPr>
                <w:rFonts w:ascii="Arial" w:hAnsi="Arial" w:cs="Arial"/>
                <w:b/>
                <w:sz w:val="18"/>
                <w:szCs w:val="18"/>
              </w:rPr>
              <w:t>EUA RBOB 87</w:t>
            </w:r>
            <w:r w:rsidRPr="002153FC">
              <w:rPr>
                <w:rFonts w:ascii="Arial" w:hAnsi="Arial" w:cs="Arial"/>
                <w:b/>
                <w:sz w:val="18"/>
                <w:szCs w:val="18"/>
                <w:vertAlign w:val="superscript"/>
              </w:rPr>
              <w:t xml:space="preserve"> 1</w:t>
            </w:r>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Octano</w:t>
            </w:r>
          </w:p>
        </w:tc>
        <w:tc>
          <w:tcPr>
            <w:tcW w:w="3001" w:type="dxa"/>
          </w:tcPr>
          <w:p w:rsidR="00164093" w:rsidRPr="002153FC" w:rsidRDefault="00164093" w:rsidP="000E005E">
            <w:pPr>
              <w:jc w:val="center"/>
              <w:rPr>
                <w:rFonts w:ascii="Arial" w:hAnsi="Arial" w:cs="Arial"/>
                <w:sz w:val="18"/>
                <w:szCs w:val="18"/>
              </w:rPr>
            </w:pPr>
            <w:r w:rsidRPr="002153FC">
              <w:rPr>
                <w:rFonts w:ascii="Arial" w:hAnsi="Arial" w:cs="Arial"/>
                <w:sz w:val="18"/>
                <w:szCs w:val="18"/>
              </w:rPr>
              <w:t xml:space="preserve">87 </w:t>
            </w:r>
            <w:proofErr w:type="spellStart"/>
            <w:r w:rsidRPr="002153FC">
              <w:rPr>
                <w:rFonts w:ascii="Arial" w:hAnsi="Arial" w:cs="Arial"/>
                <w:sz w:val="18"/>
                <w:szCs w:val="18"/>
              </w:rPr>
              <w:t>mín</w:t>
            </w:r>
            <w:proofErr w:type="spellEnd"/>
          </w:p>
        </w:tc>
        <w:tc>
          <w:tcPr>
            <w:tcW w:w="2207" w:type="dxa"/>
          </w:tcPr>
          <w:p w:rsidR="00164093" w:rsidRPr="002153FC" w:rsidRDefault="00164093" w:rsidP="000E005E">
            <w:pPr>
              <w:jc w:val="center"/>
              <w:rPr>
                <w:rFonts w:ascii="Arial" w:hAnsi="Arial" w:cs="Arial"/>
                <w:sz w:val="18"/>
                <w:szCs w:val="18"/>
              </w:rPr>
            </w:pPr>
            <w:r w:rsidRPr="002153FC">
              <w:rPr>
                <w:rFonts w:ascii="Arial" w:hAnsi="Arial" w:cs="Arial"/>
                <w:sz w:val="18"/>
                <w:szCs w:val="18"/>
              </w:rPr>
              <w:t>87</w:t>
            </w:r>
            <w:r>
              <w:rPr>
                <w:rFonts w:ascii="Arial" w:hAnsi="Arial" w:cs="Arial"/>
                <w:sz w:val="18"/>
                <w:szCs w:val="18"/>
              </w:rPr>
              <w:t xml:space="preserve"> </w:t>
            </w:r>
            <w:proofErr w:type="spellStart"/>
            <w:r>
              <w:rPr>
                <w:rFonts w:ascii="Arial" w:hAnsi="Arial" w:cs="Arial"/>
                <w:sz w:val="18"/>
                <w:szCs w:val="18"/>
              </w:rPr>
              <w:t>mín</w:t>
            </w:r>
            <w:proofErr w:type="spellEnd"/>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Azufre</w:t>
            </w:r>
          </w:p>
        </w:tc>
        <w:tc>
          <w:tcPr>
            <w:tcW w:w="3001"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30 ppm </w:t>
            </w:r>
            <w:proofErr w:type="spellStart"/>
            <w:r>
              <w:rPr>
                <w:rFonts w:ascii="Arial" w:hAnsi="Arial" w:cs="Arial"/>
                <w:sz w:val="18"/>
                <w:szCs w:val="18"/>
              </w:rPr>
              <w:t>prom</w:t>
            </w:r>
            <w:proofErr w:type="spellEnd"/>
            <w:r>
              <w:rPr>
                <w:rFonts w:ascii="Arial" w:hAnsi="Arial" w:cs="Arial"/>
                <w:sz w:val="18"/>
                <w:szCs w:val="18"/>
              </w:rPr>
              <w:t xml:space="preserve">, 80 ppm </w:t>
            </w:r>
            <w:proofErr w:type="spellStart"/>
            <w:r>
              <w:rPr>
                <w:rFonts w:ascii="Arial" w:hAnsi="Arial" w:cs="Arial"/>
                <w:sz w:val="18"/>
                <w:szCs w:val="18"/>
              </w:rPr>
              <w:t>máx</w:t>
            </w:r>
            <w:proofErr w:type="spellEnd"/>
          </w:p>
        </w:tc>
        <w:tc>
          <w:tcPr>
            <w:tcW w:w="2207"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80 ppm </w:t>
            </w:r>
            <w:proofErr w:type="spellStart"/>
            <w:r>
              <w:rPr>
                <w:rFonts w:ascii="Arial" w:hAnsi="Arial" w:cs="Arial"/>
                <w:sz w:val="18"/>
                <w:szCs w:val="18"/>
              </w:rPr>
              <w:t>máx</w:t>
            </w:r>
            <w:proofErr w:type="spellEnd"/>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Aromáticos</w:t>
            </w:r>
          </w:p>
        </w:tc>
        <w:tc>
          <w:tcPr>
            <w:tcW w:w="3001"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25%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c>
          <w:tcPr>
            <w:tcW w:w="2207"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50%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Olefinas</w:t>
            </w:r>
          </w:p>
        </w:tc>
        <w:tc>
          <w:tcPr>
            <w:tcW w:w="3001"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10%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c>
          <w:tcPr>
            <w:tcW w:w="2207"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25%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Benceno</w:t>
            </w:r>
          </w:p>
        </w:tc>
        <w:tc>
          <w:tcPr>
            <w:tcW w:w="3001"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1%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c>
          <w:tcPr>
            <w:tcW w:w="2207"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1.3%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r>
    </w:tbl>
    <w:p w:rsidR="00164093" w:rsidRPr="00C9322B" w:rsidRDefault="00164093" w:rsidP="00164093">
      <w:pPr>
        <w:spacing w:after="0" w:line="240" w:lineRule="auto"/>
        <w:ind w:left="1134" w:right="1183"/>
        <w:jc w:val="both"/>
        <w:rPr>
          <w:rFonts w:ascii="Tahoma" w:hAnsi="Tahoma" w:cs="Tahoma"/>
          <w:sz w:val="16"/>
          <w:szCs w:val="16"/>
        </w:rPr>
      </w:pPr>
      <w:r w:rsidRPr="00C9322B">
        <w:rPr>
          <w:rFonts w:ascii="Tahoma" w:hAnsi="Tahoma" w:cs="Tahoma"/>
          <w:sz w:val="16"/>
          <w:szCs w:val="16"/>
        </w:rPr>
        <w:t xml:space="preserve">Notas: (1) Regular </w:t>
      </w:r>
      <w:proofErr w:type="spellStart"/>
      <w:r w:rsidRPr="00C9322B">
        <w:rPr>
          <w:rFonts w:ascii="Tahoma" w:hAnsi="Tahoma" w:cs="Tahoma"/>
          <w:sz w:val="16"/>
          <w:szCs w:val="16"/>
        </w:rPr>
        <w:t>blendstock</w:t>
      </w:r>
      <w:proofErr w:type="spellEnd"/>
      <w:r w:rsidRPr="00C9322B">
        <w:rPr>
          <w:rFonts w:ascii="Tahoma" w:hAnsi="Tahoma" w:cs="Tahoma"/>
          <w:sz w:val="16"/>
          <w:szCs w:val="16"/>
        </w:rPr>
        <w:t xml:space="preserve"> </w:t>
      </w:r>
      <w:proofErr w:type="spellStart"/>
      <w:r w:rsidRPr="00C9322B">
        <w:rPr>
          <w:rFonts w:ascii="Tahoma" w:hAnsi="Tahoma" w:cs="Tahoma"/>
          <w:sz w:val="16"/>
          <w:szCs w:val="16"/>
        </w:rPr>
        <w:t>for</w:t>
      </w:r>
      <w:proofErr w:type="spellEnd"/>
      <w:r w:rsidRPr="00C9322B">
        <w:rPr>
          <w:rFonts w:ascii="Tahoma" w:hAnsi="Tahoma" w:cs="Tahoma"/>
          <w:sz w:val="16"/>
          <w:szCs w:val="16"/>
        </w:rPr>
        <w:t xml:space="preserve"> </w:t>
      </w:r>
      <w:proofErr w:type="spellStart"/>
      <w:r w:rsidRPr="00C9322B">
        <w:rPr>
          <w:rFonts w:ascii="Tahoma" w:hAnsi="Tahoma" w:cs="Tahoma"/>
          <w:sz w:val="16"/>
          <w:szCs w:val="16"/>
        </w:rPr>
        <w:t>oxygenate</w:t>
      </w:r>
      <w:proofErr w:type="spellEnd"/>
      <w:r w:rsidRPr="00C9322B">
        <w:rPr>
          <w:rFonts w:ascii="Tahoma" w:hAnsi="Tahoma" w:cs="Tahoma"/>
          <w:sz w:val="16"/>
          <w:szCs w:val="16"/>
        </w:rPr>
        <w:t xml:space="preserve"> </w:t>
      </w:r>
      <w:proofErr w:type="spellStart"/>
      <w:r w:rsidRPr="00C9322B">
        <w:rPr>
          <w:rFonts w:ascii="Tahoma" w:hAnsi="Tahoma" w:cs="Tahoma"/>
          <w:sz w:val="16"/>
          <w:szCs w:val="16"/>
        </w:rPr>
        <w:t>blending</w:t>
      </w:r>
      <w:proofErr w:type="spellEnd"/>
      <w:r w:rsidRPr="00C9322B">
        <w:rPr>
          <w:rFonts w:ascii="Tahoma" w:hAnsi="Tahoma" w:cs="Tahoma"/>
          <w:sz w:val="16"/>
          <w:szCs w:val="16"/>
        </w:rPr>
        <w:t xml:space="preserve"> (RBOB). Esta es una mezcla de gasolina base a la que se agrega un oxigenante como el etanol para proporcionarle un octanaje de 87 mínimo.</w:t>
      </w:r>
    </w:p>
    <w:p w:rsidR="00164093" w:rsidRPr="00F3119E" w:rsidRDefault="00164093" w:rsidP="00164093">
      <w:pPr>
        <w:spacing w:after="0" w:line="240" w:lineRule="auto"/>
        <w:jc w:val="both"/>
        <w:rPr>
          <w:rFonts w:ascii="Arial" w:hAnsi="Arial" w:cs="Arial"/>
        </w:rPr>
      </w:pPr>
    </w:p>
    <w:p w:rsidR="00164093" w:rsidRPr="00603897" w:rsidRDefault="00164093" w:rsidP="00164093">
      <w:pPr>
        <w:spacing w:after="0" w:line="240" w:lineRule="auto"/>
        <w:jc w:val="both"/>
        <w:rPr>
          <w:rFonts w:ascii="Arial" w:hAnsi="Arial" w:cs="Arial"/>
          <w:sz w:val="18"/>
          <w:szCs w:val="18"/>
        </w:rPr>
      </w:pPr>
      <w:r w:rsidRPr="00603897">
        <w:rPr>
          <w:rFonts w:ascii="Arial" w:hAnsi="Arial" w:cs="Arial"/>
          <w:sz w:val="18"/>
          <w:szCs w:val="18"/>
        </w:rPr>
        <w:t>Cuadro comparativo de la gasolina Premium d</w:t>
      </w:r>
      <w:r w:rsidR="009B327A">
        <w:rPr>
          <w:rFonts w:ascii="Arial" w:hAnsi="Arial" w:cs="Arial"/>
          <w:sz w:val="18"/>
          <w:szCs w:val="18"/>
        </w:rPr>
        <w:t>isponible en la ZMVM</w:t>
      </w:r>
      <w:r w:rsidRPr="00603897">
        <w:rPr>
          <w:rFonts w:ascii="Arial" w:hAnsi="Arial" w:cs="Arial"/>
          <w:sz w:val="18"/>
          <w:szCs w:val="18"/>
        </w:rPr>
        <w:t xml:space="preserve"> con los combustibles equivalentes d</w:t>
      </w:r>
      <w:r w:rsidR="009B327A">
        <w:rPr>
          <w:rFonts w:ascii="Arial" w:hAnsi="Arial" w:cs="Arial"/>
          <w:sz w:val="18"/>
          <w:szCs w:val="18"/>
        </w:rPr>
        <w:t>e (EU</w:t>
      </w:r>
      <w:r w:rsidRPr="00603897">
        <w:rPr>
          <w:rFonts w:ascii="Arial" w:hAnsi="Arial" w:cs="Arial"/>
          <w:sz w:val="18"/>
          <w:szCs w:val="18"/>
        </w:rPr>
        <w:t>)</w:t>
      </w:r>
    </w:p>
    <w:p w:rsidR="00164093" w:rsidRDefault="00164093" w:rsidP="00164093">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1413"/>
        <w:gridCol w:w="3001"/>
        <w:gridCol w:w="2207"/>
      </w:tblGrid>
      <w:tr w:rsidR="00164093" w:rsidRPr="002153FC" w:rsidTr="000E005E">
        <w:trPr>
          <w:jc w:val="center"/>
        </w:trPr>
        <w:tc>
          <w:tcPr>
            <w:tcW w:w="1413" w:type="dxa"/>
          </w:tcPr>
          <w:p w:rsidR="00164093" w:rsidRPr="002153FC" w:rsidRDefault="00164093" w:rsidP="000E005E">
            <w:pPr>
              <w:jc w:val="both"/>
              <w:rPr>
                <w:rFonts w:ascii="Arial" w:hAnsi="Arial" w:cs="Arial"/>
                <w:b/>
                <w:sz w:val="18"/>
                <w:szCs w:val="18"/>
              </w:rPr>
            </w:pPr>
            <w:r w:rsidRPr="002153FC">
              <w:rPr>
                <w:rFonts w:ascii="Arial" w:hAnsi="Arial" w:cs="Arial"/>
                <w:b/>
                <w:sz w:val="18"/>
                <w:szCs w:val="18"/>
              </w:rPr>
              <w:t>Propiedad</w:t>
            </w:r>
          </w:p>
        </w:tc>
        <w:tc>
          <w:tcPr>
            <w:tcW w:w="3001" w:type="dxa"/>
          </w:tcPr>
          <w:p w:rsidR="00164093" w:rsidRPr="002153FC" w:rsidRDefault="00164093" w:rsidP="000E005E">
            <w:pPr>
              <w:jc w:val="center"/>
              <w:rPr>
                <w:rFonts w:ascii="Arial" w:hAnsi="Arial" w:cs="Arial"/>
                <w:b/>
                <w:sz w:val="18"/>
                <w:szCs w:val="18"/>
              </w:rPr>
            </w:pPr>
            <w:r w:rsidRPr="002153FC">
              <w:rPr>
                <w:rFonts w:ascii="Arial" w:hAnsi="Arial" w:cs="Arial"/>
                <w:b/>
                <w:sz w:val="18"/>
                <w:szCs w:val="18"/>
              </w:rPr>
              <w:t>NOM-EM-005</w:t>
            </w:r>
          </w:p>
        </w:tc>
        <w:tc>
          <w:tcPr>
            <w:tcW w:w="2207" w:type="dxa"/>
          </w:tcPr>
          <w:p w:rsidR="00164093" w:rsidRPr="002153FC" w:rsidRDefault="00164093" w:rsidP="000E005E">
            <w:pPr>
              <w:jc w:val="center"/>
              <w:rPr>
                <w:rFonts w:ascii="Arial" w:hAnsi="Arial" w:cs="Arial"/>
                <w:b/>
                <w:sz w:val="18"/>
                <w:szCs w:val="18"/>
                <w:vertAlign w:val="superscript"/>
              </w:rPr>
            </w:pPr>
            <w:r w:rsidRPr="002153FC">
              <w:rPr>
                <w:rFonts w:ascii="Arial" w:hAnsi="Arial" w:cs="Arial"/>
                <w:b/>
                <w:sz w:val="18"/>
                <w:szCs w:val="18"/>
              </w:rPr>
              <w:t>EUA RBOB 87</w:t>
            </w:r>
            <w:r w:rsidRPr="002153FC">
              <w:rPr>
                <w:rFonts w:ascii="Arial" w:hAnsi="Arial" w:cs="Arial"/>
                <w:b/>
                <w:sz w:val="18"/>
                <w:szCs w:val="18"/>
                <w:vertAlign w:val="superscript"/>
              </w:rPr>
              <w:t xml:space="preserve"> 1</w:t>
            </w:r>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Octano</w:t>
            </w:r>
          </w:p>
        </w:tc>
        <w:tc>
          <w:tcPr>
            <w:tcW w:w="3001" w:type="dxa"/>
          </w:tcPr>
          <w:p w:rsidR="00164093" w:rsidRPr="002153FC" w:rsidRDefault="00164093" w:rsidP="000E005E">
            <w:pPr>
              <w:jc w:val="center"/>
              <w:rPr>
                <w:rFonts w:ascii="Arial" w:hAnsi="Arial" w:cs="Arial"/>
                <w:sz w:val="18"/>
                <w:szCs w:val="18"/>
              </w:rPr>
            </w:pPr>
            <w:r>
              <w:rPr>
                <w:rFonts w:ascii="Arial" w:hAnsi="Arial" w:cs="Arial"/>
                <w:sz w:val="18"/>
                <w:szCs w:val="18"/>
              </w:rPr>
              <w:t>92</w:t>
            </w:r>
            <w:r w:rsidRPr="002153FC">
              <w:rPr>
                <w:rFonts w:ascii="Arial" w:hAnsi="Arial" w:cs="Arial"/>
                <w:sz w:val="18"/>
                <w:szCs w:val="18"/>
              </w:rPr>
              <w:t xml:space="preserve"> </w:t>
            </w:r>
            <w:proofErr w:type="spellStart"/>
            <w:r w:rsidRPr="002153FC">
              <w:rPr>
                <w:rFonts w:ascii="Arial" w:hAnsi="Arial" w:cs="Arial"/>
                <w:sz w:val="18"/>
                <w:szCs w:val="18"/>
              </w:rPr>
              <w:t>mín</w:t>
            </w:r>
            <w:proofErr w:type="spellEnd"/>
          </w:p>
        </w:tc>
        <w:tc>
          <w:tcPr>
            <w:tcW w:w="2207"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93 </w:t>
            </w:r>
            <w:proofErr w:type="spellStart"/>
            <w:r>
              <w:rPr>
                <w:rFonts w:ascii="Arial" w:hAnsi="Arial" w:cs="Arial"/>
                <w:sz w:val="18"/>
                <w:szCs w:val="18"/>
              </w:rPr>
              <w:t>mín</w:t>
            </w:r>
            <w:proofErr w:type="spellEnd"/>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Azufre</w:t>
            </w:r>
          </w:p>
        </w:tc>
        <w:tc>
          <w:tcPr>
            <w:tcW w:w="3001"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30 ppm </w:t>
            </w:r>
            <w:proofErr w:type="spellStart"/>
            <w:r>
              <w:rPr>
                <w:rFonts w:ascii="Arial" w:hAnsi="Arial" w:cs="Arial"/>
                <w:sz w:val="18"/>
                <w:szCs w:val="18"/>
              </w:rPr>
              <w:t>prom</w:t>
            </w:r>
            <w:proofErr w:type="spellEnd"/>
            <w:r>
              <w:rPr>
                <w:rFonts w:ascii="Arial" w:hAnsi="Arial" w:cs="Arial"/>
                <w:sz w:val="18"/>
                <w:szCs w:val="18"/>
              </w:rPr>
              <w:t xml:space="preserve">, 80 ppm </w:t>
            </w:r>
            <w:proofErr w:type="spellStart"/>
            <w:r>
              <w:rPr>
                <w:rFonts w:ascii="Arial" w:hAnsi="Arial" w:cs="Arial"/>
                <w:sz w:val="18"/>
                <w:szCs w:val="18"/>
              </w:rPr>
              <w:t>máx</w:t>
            </w:r>
            <w:proofErr w:type="spellEnd"/>
          </w:p>
        </w:tc>
        <w:tc>
          <w:tcPr>
            <w:tcW w:w="2207"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80 ppm </w:t>
            </w:r>
            <w:proofErr w:type="spellStart"/>
            <w:r>
              <w:rPr>
                <w:rFonts w:ascii="Arial" w:hAnsi="Arial" w:cs="Arial"/>
                <w:sz w:val="18"/>
                <w:szCs w:val="18"/>
              </w:rPr>
              <w:t>máx</w:t>
            </w:r>
            <w:proofErr w:type="spellEnd"/>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Aromáticos</w:t>
            </w:r>
          </w:p>
        </w:tc>
        <w:tc>
          <w:tcPr>
            <w:tcW w:w="3001"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25%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c>
          <w:tcPr>
            <w:tcW w:w="2207"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50%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Olefinas</w:t>
            </w:r>
          </w:p>
        </w:tc>
        <w:tc>
          <w:tcPr>
            <w:tcW w:w="3001"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10%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c>
          <w:tcPr>
            <w:tcW w:w="2207"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25%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r>
      <w:tr w:rsidR="00164093" w:rsidRPr="002153FC" w:rsidTr="000E005E">
        <w:trPr>
          <w:jc w:val="center"/>
        </w:trPr>
        <w:tc>
          <w:tcPr>
            <w:tcW w:w="1413" w:type="dxa"/>
          </w:tcPr>
          <w:p w:rsidR="00164093" w:rsidRPr="002153FC" w:rsidRDefault="00164093" w:rsidP="000E005E">
            <w:pPr>
              <w:jc w:val="both"/>
              <w:rPr>
                <w:rFonts w:ascii="Arial" w:hAnsi="Arial" w:cs="Arial"/>
                <w:sz w:val="18"/>
                <w:szCs w:val="18"/>
              </w:rPr>
            </w:pPr>
            <w:r w:rsidRPr="002153FC">
              <w:rPr>
                <w:rFonts w:ascii="Arial" w:hAnsi="Arial" w:cs="Arial"/>
                <w:sz w:val="18"/>
                <w:szCs w:val="18"/>
              </w:rPr>
              <w:t>Benceno</w:t>
            </w:r>
          </w:p>
        </w:tc>
        <w:tc>
          <w:tcPr>
            <w:tcW w:w="3001"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1%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c>
          <w:tcPr>
            <w:tcW w:w="2207" w:type="dxa"/>
          </w:tcPr>
          <w:p w:rsidR="00164093" w:rsidRPr="002153FC" w:rsidRDefault="00164093" w:rsidP="000E005E">
            <w:pPr>
              <w:jc w:val="center"/>
              <w:rPr>
                <w:rFonts w:ascii="Arial" w:hAnsi="Arial" w:cs="Arial"/>
                <w:sz w:val="18"/>
                <w:szCs w:val="18"/>
              </w:rPr>
            </w:pPr>
            <w:r>
              <w:rPr>
                <w:rFonts w:ascii="Arial" w:hAnsi="Arial" w:cs="Arial"/>
                <w:sz w:val="18"/>
                <w:szCs w:val="18"/>
              </w:rPr>
              <w:t xml:space="preserve">1.3%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r>
    </w:tbl>
    <w:p w:rsidR="00164093" w:rsidRDefault="00164093" w:rsidP="00164093">
      <w:pPr>
        <w:spacing w:after="0" w:line="240" w:lineRule="auto"/>
        <w:ind w:left="993" w:right="1183"/>
        <w:jc w:val="both"/>
        <w:rPr>
          <w:rFonts w:ascii="Tahoma" w:eastAsia="Calibri" w:hAnsi="Tahoma" w:cs="Tahoma"/>
          <w:lang w:eastAsia="es-ES"/>
        </w:rPr>
      </w:pPr>
      <w:r w:rsidRPr="00E5220D">
        <w:rPr>
          <w:rFonts w:ascii="Arial" w:hAnsi="Arial" w:cs="Arial"/>
          <w:sz w:val="16"/>
          <w:szCs w:val="16"/>
        </w:rPr>
        <w:t xml:space="preserve">Notas: (1) Regular </w:t>
      </w:r>
      <w:proofErr w:type="spellStart"/>
      <w:r w:rsidRPr="00E5220D">
        <w:rPr>
          <w:rFonts w:ascii="Arial" w:hAnsi="Arial" w:cs="Arial"/>
          <w:sz w:val="16"/>
          <w:szCs w:val="16"/>
        </w:rPr>
        <w:t>blendstock</w:t>
      </w:r>
      <w:proofErr w:type="spellEnd"/>
      <w:r w:rsidRPr="00E5220D">
        <w:rPr>
          <w:rFonts w:ascii="Arial" w:hAnsi="Arial" w:cs="Arial"/>
          <w:sz w:val="16"/>
          <w:szCs w:val="16"/>
        </w:rPr>
        <w:t xml:space="preserve"> </w:t>
      </w:r>
      <w:proofErr w:type="spellStart"/>
      <w:r w:rsidRPr="00E5220D">
        <w:rPr>
          <w:rFonts w:ascii="Arial" w:hAnsi="Arial" w:cs="Arial"/>
          <w:sz w:val="16"/>
          <w:szCs w:val="16"/>
        </w:rPr>
        <w:t>for</w:t>
      </w:r>
      <w:proofErr w:type="spellEnd"/>
      <w:r w:rsidRPr="00E5220D">
        <w:rPr>
          <w:rFonts w:ascii="Arial" w:hAnsi="Arial" w:cs="Arial"/>
          <w:sz w:val="16"/>
          <w:szCs w:val="16"/>
        </w:rPr>
        <w:t xml:space="preserve"> </w:t>
      </w:r>
      <w:proofErr w:type="spellStart"/>
      <w:r w:rsidRPr="00E5220D">
        <w:rPr>
          <w:rFonts w:ascii="Arial" w:hAnsi="Arial" w:cs="Arial"/>
          <w:sz w:val="16"/>
          <w:szCs w:val="16"/>
        </w:rPr>
        <w:t>oxygenate</w:t>
      </w:r>
      <w:proofErr w:type="spellEnd"/>
      <w:r w:rsidRPr="00E5220D">
        <w:rPr>
          <w:rFonts w:ascii="Arial" w:hAnsi="Arial" w:cs="Arial"/>
          <w:sz w:val="16"/>
          <w:szCs w:val="16"/>
        </w:rPr>
        <w:t xml:space="preserve"> </w:t>
      </w:r>
      <w:proofErr w:type="spellStart"/>
      <w:r w:rsidRPr="00E5220D">
        <w:rPr>
          <w:rFonts w:ascii="Arial" w:hAnsi="Arial" w:cs="Arial"/>
          <w:sz w:val="16"/>
          <w:szCs w:val="16"/>
        </w:rPr>
        <w:t>blending</w:t>
      </w:r>
      <w:proofErr w:type="spellEnd"/>
      <w:r w:rsidRPr="00E5220D">
        <w:rPr>
          <w:rFonts w:ascii="Arial" w:hAnsi="Arial" w:cs="Arial"/>
          <w:sz w:val="16"/>
          <w:szCs w:val="16"/>
        </w:rPr>
        <w:t xml:space="preserve">. Esta es </w:t>
      </w:r>
      <w:r>
        <w:rPr>
          <w:rFonts w:ascii="Arial" w:hAnsi="Arial" w:cs="Arial"/>
          <w:sz w:val="16"/>
          <w:szCs w:val="16"/>
        </w:rPr>
        <w:t>una mezcla de gasolina base</w:t>
      </w:r>
      <w:r w:rsidRPr="00E5220D">
        <w:rPr>
          <w:rFonts w:ascii="Arial" w:hAnsi="Arial" w:cs="Arial"/>
          <w:sz w:val="16"/>
          <w:szCs w:val="16"/>
        </w:rPr>
        <w:t xml:space="preserve"> a </w:t>
      </w:r>
      <w:r>
        <w:rPr>
          <w:rFonts w:ascii="Arial" w:hAnsi="Arial" w:cs="Arial"/>
          <w:sz w:val="16"/>
          <w:szCs w:val="16"/>
        </w:rPr>
        <w:t xml:space="preserve">la que se </w:t>
      </w:r>
      <w:r w:rsidRPr="00E5220D">
        <w:rPr>
          <w:rFonts w:ascii="Arial" w:hAnsi="Arial" w:cs="Arial"/>
          <w:sz w:val="16"/>
          <w:szCs w:val="16"/>
        </w:rPr>
        <w:t xml:space="preserve">agrega un oxigenante como el </w:t>
      </w:r>
      <w:r>
        <w:rPr>
          <w:rFonts w:ascii="Arial" w:hAnsi="Arial" w:cs="Arial"/>
          <w:sz w:val="16"/>
          <w:szCs w:val="16"/>
        </w:rPr>
        <w:t>etanol para proporcionarle un octanaje de 93 mínimo</w:t>
      </w:r>
      <w:r w:rsidRPr="00E5220D">
        <w:rPr>
          <w:rFonts w:ascii="Arial" w:hAnsi="Arial" w:cs="Arial"/>
          <w:sz w:val="16"/>
          <w:szCs w:val="16"/>
        </w:rPr>
        <w:t>.</w:t>
      </w:r>
    </w:p>
    <w:p w:rsidR="009B327A" w:rsidRDefault="009B327A" w:rsidP="00105EC2">
      <w:pPr>
        <w:spacing w:after="0" w:line="240" w:lineRule="auto"/>
        <w:jc w:val="center"/>
        <w:rPr>
          <w:rFonts w:ascii="Arial" w:hAnsi="Arial" w:cs="Arial"/>
          <w:sz w:val="18"/>
          <w:szCs w:val="18"/>
        </w:rPr>
      </w:pPr>
    </w:p>
    <w:p w:rsidR="009B327A" w:rsidRDefault="009B327A" w:rsidP="00105EC2">
      <w:pPr>
        <w:spacing w:after="0" w:line="240" w:lineRule="auto"/>
        <w:jc w:val="center"/>
        <w:rPr>
          <w:rFonts w:ascii="Arial" w:hAnsi="Arial" w:cs="Arial"/>
          <w:sz w:val="18"/>
          <w:szCs w:val="18"/>
        </w:rPr>
      </w:pPr>
    </w:p>
    <w:p w:rsidR="00105EC2" w:rsidRPr="00603897" w:rsidRDefault="00105EC2" w:rsidP="00105EC2">
      <w:pPr>
        <w:spacing w:after="0" w:line="240" w:lineRule="auto"/>
        <w:jc w:val="center"/>
        <w:rPr>
          <w:rFonts w:ascii="Arial" w:hAnsi="Arial" w:cs="Arial"/>
          <w:sz w:val="18"/>
          <w:szCs w:val="18"/>
        </w:rPr>
      </w:pPr>
      <w:r w:rsidRPr="00603897">
        <w:rPr>
          <w:rFonts w:ascii="Arial" w:hAnsi="Arial" w:cs="Arial"/>
          <w:sz w:val="18"/>
          <w:szCs w:val="18"/>
        </w:rPr>
        <w:lastRenderedPageBreak/>
        <w:t>Cuadro comparativo de</w:t>
      </w:r>
      <w:r>
        <w:rPr>
          <w:rFonts w:ascii="Arial" w:hAnsi="Arial" w:cs="Arial"/>
          <w:sz w:val="18"/>
          <w:szCs w:val="18"/>
        </w:rPr>
        <w:t>l</w:t>
      </w:r>
      <w:r w:rsidRPr="00603897">
        <w:rPr>
          <w:rFonts w:ascii="Arial" w:hAnsi="Arial" w:cs="Arial"/>
          <w:sz w:val="18"/>
          <w:szCs w:val="18"/>
        </w:rPr>
        <w:t xml:space="preserve"> </w:t>
      </w:r>
      <w:r>
        <w:rPr>
          <w:rFonts w:ascii="Arial" w:hAnsi="Arial" w:cs="Arial"/>
          <w:sz w:val="18"/>
          <w:szCs w:val="18"/>
        </w:rPr>
        <w:t xml:space="preserve">diésel </w:t>
      </w:r>
      <w:r w:rsidRPr="00603897">
        <w:rPr>
          <w:rFonts w:ascii="Arial" w:hAnsi="Arial" w:cs="Arial"/>
          <w:sz w:val="18"/>
          <w:szCs w:val="18"/>
        </w:rPr>
        <w:t xml:space="preserve">disponible en la </w:t>
      </w:r>
      <w:r>
        <w:rPr>
          <w:rFonts w:ascii="Arial" w:hAnsi="Arial" w:cs="Arial"/>
          <w:sz w:val="18"/>
          <w:szCs w:val="18"/>
        </w:rPr>
        <w:t xml:space="preserve">ZMVM </w:t>
      </w:r>
      <w:r w:rsidRPr="00603897">
        <w:rPr>
          <w:rFonts w:ascii="Arial" w:hAnsi="Arial" w:cs="Arial"/>
          <w:sz w:val="18"/>
          <w:szCs w:val="18"/>
        </w:rPr>
        <w:t>con los combustibles equivalentes de EU</w:t>
      </w:r>
    </w:p>
    <w:p w:rsidR="00105EC2" w:rsidRDefault="00105EC2" w:rsidP="00105EC2">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1413"/>
        <w:gridCol w:w="3001"/>
        <w:gridCol w:w="2207"/>
      </w:tblGrid>
      <w:tr w:rsidR="00105EC2" w:rsidRPr="002153FC" w:rsidTr="000E005E">
        <w:trPr>
          <w:jc w:val="center"/>
        </w:trPr>
        <w:tc>
          <w:tcPr>
            <w:tcW w:w="1413" w:type="dxa"/>
          </w:tcPr>
          <w:p w:rsidR="00105EC2" w:rsidRPr="002153FC" w:rsidRDefault="00105EC2" w:rsidP="000E005E">
            <w:pPr>
              <w:jc w:val="both"/>
              <w:rPr>
                <w:rFonts w:ascii="Arial" w:hAnsi="Arial" w:cs="Arial"/>
                <w:b/>
                <w:sz w:val="18"/>
                <w:szCs w:val="18"/>
              </w:rPr>
            </w:pPr>
            <w:r w:rsidRPr="002153FC">
              <w:rPr>
                <w:rFonts w:ascii="Arial" w:hAnsi="Arial" w:cs="Arial"/>
                <w:b/>
                <w:sz w:val="18"/>
                <w:szCs w:val="18"/>
              </w:rPr>
              <w:t>Propiedad</w:t>
            </w:r>
          </w:p>
        </w:tc>
        <w:tc>
          <w:tcPr>
            <w:tcW w:w="3001" w:type="dxa"/>
          </w:tcPr>
          <w:p w:rsidR="00105EC2" w:rsidRDefault="00105EC2" w:rsidP="000E005E">
            <w:pPr>
              <w:jc w:val="center"/>
              <w:rPr>
                <w:rFonts w:ascii="Arial" w:hAnsi="Arial" w:cs="Arial"/>
                <w:b/>
                <w:sz w:val="18"/>
                <w:szCs w:val="18"/>
              </w:rPr>
            </w:pPr>
            <w:r w:rsidRPr="002153FC">
              <w:rPr>
                <w:rFonts w:ascii="Arial" w:hAnsi="Arial" w:cs="Arial"/>
                <w:b/>
                <w:sz w:val="18"/>
                <w:szCs w:val="18"/>
              </w:rPr>
              <w:t>NOM-EM-005</w:t>
            </w:r>
          </w:p>
          <w:p w:rsidR="00105EC2" w:rsidRPr="002153FC" w:rsidRDefault="00105EC2" w:rsidP="000E005E">
            <w:pPr>
              <w:jc w:val="center"/>
              <w:rPr>
                <w:rFonts w:ascii="Arial" w:hAnsi="Arial" w:cs="Arial"/>
                <w:b/>
                <w:sz w:val="18"/>
                <w:szCs w:val="18"/>
              </w:rPr>
            </w:pPr>
            <w:r>
              <w:rPr>
                <w:rFonts w:ascii="Arial" w:hAnsi="Arial" w:cs="Arial"/>
                <w:b/>
                <w:sz w:val="18"/>
                <w:szCs w:val="18"/>
              </w:rPr>
              <w:t>ZMVM</w:t>
            </w:r>
          </w:p>
        </w:tc>
        <w:tc>
          <w:tcPr>
            <w:tcW w:w="2207" w:type="dxa"/>
          </w:tcPr>
          <w:p w:rsidR="00105EC2" w:rsidRPr="002153FC" w:rsidRDefault="00105EC2" w:rsidP="000E005E">
            <w:pPr>
              <w:jc w:val="center"/>
              <w:rPr>
                <w:rFonts w:ascii="Arial" w:hAnsi="Arial" w:cs="Arial"/>
                <w:b/>
                <w:sz w:val="18"/>
                <w:szCs w:val="18"/>
                <w:vertAlign w:val="superscript"/>
              </w:rPr>
            </w:pPr>
            <w:proofErr w:type="spellStart"/>
            <w:r>
              <w:rPr>
                <w:rFonts w:ascii="Arial" w:hAnsi="Arial" w:cs="Arial"/>
                <w:b/>
                <w:sz w:val="18"/>
                <w:szCs w:val="18"/>
              </w:rPr>
              <w:t>Diesel</w:t>
            </w:r>
            <w:proofErr w:type="spellEnd"/>
            <w:r>
              <w:rPr>
                <w:rFonts w:ascii="Arial" w:hAnsi="Arial" w:cs="Arial"/>
                <w:b/>
                <w:sz w:val="18"/>
                <w:szCs w:val="18"/>
              </w:rPr>
              <w:t xml:space="preserve"> Grade No. 2-D S15</w:t>
            </w:r>
          </w:p>
        </w:tc>
      </w:tr>
      <w:tr w:rsidR="00105EC2" w:rsidRPr="002153FC" w:rsidTr="000E005E">
        <w:trPr>
          <w:jc w:val="center"/>
        </w:trPr>
        <w:tc>
          <w:tcPr>
            <w:tcW w:w="1413" w:type="dxa"/>
          </w:tcPr>
          <w:p w:rsidR="00105EC2" w:rsidRPr="002153FC" w:rsidRDefault="00105EC2" w:rsidP="000E005E">
            <w:pPr>
              <w:jc w:val="both"/>
              <w:rPr>
                <w:rFonts w:ascii="Arial" w:hAnsi="Arial" w:cs="Arial"/>
                <w:sz w:val="18"/>
                <w:szCs w:val="18"/>
              </w:rPr>
            </w:pPr>
            <w:proofErr w:type="spellStart"/>
            <w:r>
              <w:rPr>
                <w:rFonts w:ascii="Arial" w:hAnsi="Arial" w:cs="Arial"/>
                <w:sz w:val="18"/>
                <w:szCs w:val="18"/>
              </w:rPr>
              <w:t>Cetano</w:t>
            </w:r>
            <w:proofErr w:type="spellEnd"/>
          </w:p>
        </w:tc>
        <w:tc>
          <w:tcPr>
            <w:tcW w:w="3001" w:type="dxa"/>
          </w:tcPr>
          <w:p w:rsidR="00105EC2" w:rsidRPr="002153FC" w:rsidRDefault="00105EC2" w:rsidP="000E005E">
            <w:pPr>
              <w:jc w:val="center"/>
              <w:rPr>
                <w:rFonts w:ascii="Arial" w:hAnsi="Arial" w:cs="Arial"/>
                <w:sz w:val="18"/>
                <w:szCs w:val="18"/>
              </w:rPr>
            </w:pPr>
            <w:r>
              <w:rPr>
                <w:rFonts w:ascii="Arial" w:hAnsi="Arial" w:cs="Arial"/>
                <w:sz w:val="18"/>
                <w:szCs w:val="18"/>
              </w:rPr>
              <w:t>48</w:t>
            </w:r>
            <w:r w:rsidRPr="002153FC">
              <w:rPr>
                <w:rFonts w:ascii="Arial" w:hAnsi="Arial" w:cs="Arial"/>
                <w:sz w:val="18"/>
                <w:szCs w:val="18"/>
              </w:rPr>
              <w:t xml:space="preserve"> </w:t>
            </w:r>
            <w:proofErr w:type="spellStart"/>
            <w:r w:rsidRPr="002153FC">
              <w:rPr>
                <w:rFonts w:ascii="Arial" w:hAnsi="Arial" w:cs="Arial"/>
                <w:sz w:val="18"/>
                <w:szCs w:val="18"/>
              </w:rPr>
              <w:t>mín</w:t>
            </w:r>
            <w:proofErr w:type="spellEnd"/>
          </w:p>
        </w:tc>
        <w:tc>
          <w:tcPr>
            <w:tcW w:w="2207" w:type="dxa"/>
          </w:tcPr>
          <w:p w:rsidR="00105EC2" w:rsidRPr="002153FC" w:rsidRDefault="00105EC2" w:rsidP="000E005E">
            <w:pPr>
              <w:jc w:val="center"/>
              <w:rPr>
                <w:rFonts w:ascii="Arial" w:hAnsi="Arial" w:cs="Arial"/>
                <w:sz w:val="18"/>
                <w:szCs w:val="18"/>
              </w:rPr>
            </w:pPr>
            <w:r>
              <w:rPr>
                <w:rFonts w:ascii="Arial" w:hAnsi="Arial" w:cs="Arial"/>
                <w:sz w:val="18"/>
                <w:szCs w:val="18"/>
              </w:rPr>
              <w:t xml:space="preserve">40 </w:t>
            </w:r>
            <w:proofErr w:type="spellStart"/>
            <w:r>
              <w:rPr>
                <w:rFonts w:ascii="Arial" w:hAnsi="Arial" w:cs="Arial"/>
                <w:sz w:val="18"/>
                <w:szCs w:val="18"/>
              </w:rPr>
              <w:t>mín</w:t>
            </w:r>
            <w:proofErr w:type="spellEnd"/>
          </w:p>
        </w:tc>
      </w:tr>
      <w:tr w:rsidR="00105EC2" w:rsidRPr="002153FC" w:rsidTr="000E005E">
        <w:trPr>
          <w:jc w:val="center"/>
        </w:trPr>
        <w:tc>
          <w:tcPr>
            <w:tcW w:w="1413" w:type="dxa"/>
          </w:tcPr>
          <w:p w:rsidR="00105EC2" w:rsidRPr="002153FC" w:rsidRDefault="00105EC2" w:rsidP="000E005E">
            <w:pPr>
              <w:jc w:val="both"/>
              <w:rPr>
                <w:rFonts w:ascii="Arial" w:hAnsi="Arial" w:cs="Arial"/>
                <w:sz w:val="18"/>
                <w:szCs w:val="18"/>
              </w:rPr>
            </w:pPr>
            <w:r>
              <w:rPr>
                <w:rFonts w:ascii="Arial" w:hAnsi="Arial" w:cs="Arial"/>
                <w:sz w:val="18"/>
                <w:szCs w:val="18"/>
              </w:rPr>
              <w:t xml:space="preserve">Aromáticos </w:t>
            </w:r>
          </w:p>
        </w:tc>
        <w:tc>
          <w:tcPr>
            <w:tcW w:w="3001" w:type="dxa"/>
          </w:tcPr>
          <w:p w:rsidR="00105EC2" w:rsidRPr="002153FC" w:rsidRDefault="00105EC2" w:rsidP="000E005E">
            <w:pPr>
              <w:jc w:val="center"/>
              <w:rPr>
                <w:rFonts w:ascii="Arial" w:hAnsi="Arial" w:cs="Arial"/>
                <w:sz w:val="18"/>
                <w:szCs w:val="18"/>
              </w:rPr>
            </w:pPr>
            <w:r>
              <w:rPr>
                <w:rFonts w:ascii="Arial" w:hAnsi="Arial" w:cs="Arial"/>
                <w:sz w:val="18"/>
                <w:szCs w:val="18"/>
              </w:rPr>
              <w:t xml:space="preserve">30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c>
          <w:tcPr>
            <w:tcW w:w="2207" w:type="dxa"/>
          </w:tcPr>
          <w:p w:rsidR="00105EC2" w:rsidRPr="002153FC" w:rsidRDefault="00105EC2" w:rsidP="000E005E">
            <w:pPr>
              <w:jc w:val="center"/>
              <w:rPr>
                <w:rFonts w:ascii="Arial" w:hAnsi="Arial" w:cs="Arial"/>
                <w:sz w:val="18"/>
                <w:szCs w:val="18"/>
              </w:rPr>
            </w:pPr>
            <w:r>
              <w:rPr>
                <w:rFonts w:ascii="Arial" w:hAnsi="Arial" w:cs="Arial"/>
                <w:sz w:val="18"/>
                <w:szCs w:val="18"/>
              </w:rPr>
              <w:t xml:space="preserve">35 </w:t>
            </w:r>
            <w:proofErr w:type="spellStart"/>
            <w:r>
              <w:rPr>
                <w:rFonts w:ascii="Arial" w:hAnsi="Arial" w:cs="Arial"/>
                <w:sz w:val="18"/>
                <w:szCs w:val="18"/>
              </w:rPr>
              <w:t>vol</w:t>
            </w:r>
            <w:proofErr w:type="spellEnd"/>
            <w:r>
              <w:rPr>
                <w:rFonts w:ascii="Arial" w:hAnsi="Arial" w:cs="Arial"/>
                <w:sz w:val="18"/>
                <w:szCs w:val="18"/>
              </w:rPr>
              <w:t xml:space="preserve"> </w:t>
            </w:r>
            <w:proofErr w:type="spellStart"/>
            <w:r>
              <w:rPr>
                <w:rFonts w:ascii="Arial" w:hAnsi="Arial" w:cs="Arial"/>
                <w:sz w:val="18"/>
                <w:szCs w:val="18"/>
              </w:rPr>
              <w:t>máx</w:t>
            </w:r>
            <w:proofErr w:type="spellEnd"/>
          </w:p>
        </w:tc>
      </w:tr>
      <w:tr w:rsidR="00105EC2" w:rsidRPr="002153FC" w:rsidTr="000E005E">
        <w:trPr>
          <w:jc w:val="center"/>
        </w:trPr>
        <w:tc>
          <w:tcPr>
            <w:tcW w:w="1413" w:type="dxa"/>
          </w:tcPr>
          <w:p w:rsidR="00105EC2" w:rsidRPr="002153FC" w:rsidRDefault="00105EC2" w:rsidP="000E005E">
            <w:pPr>
              <w:jc w:val="both"/>
              <w:rPr>
                <w:rFonts w:ascii="Arial" w:hAnsi="Arial" w:cs="Arial"/>
                <w:sz w:val="18"/>
                <w:szCs w:val="18"/>
              </w:rPr>
            </w:pPr>
            <w:r>
              <w:rPr>
                <w:rFonts w:ascii="Arial" w:hAnsi="Arial" w:cs="Arial"/>
                <w:sz w:val="18"/>
                <w:szCs w:val="18"/>
              </w:rPr>
              <w:t>Azufre</w:t>
            </w:r>
          </w:p>
        </w:tc>
        <w:tc>
          <w:tcPr>
            <w:tcW w:w="3001" w:type="dxa"/>
          </w:tcPr>
          <w:p w:rsidR="00105EC2" w:rsidRPr="002153FC" w:rsidRDefault="00105EC2" w:rsidP="000E005E">
            <w:pPr>
              <w:jc w:val="center"/>
              <w:rPr>
                <w:rFonts w:ascii="Arial" w:hAnsi="Arial" w:cs="Arial"/>
                <w:sz w:val="18"/>
                <w:szCs w:val="18"/>
              </w:rPr>
            </w:pPr>
            <w:r>
              <w:rPr>
                <w:rFonts w:ascii="Arial" w:hAnsi="Arial" w:cs="Arial"/>
                <w:sz w:val="18"/>
                <w:szCs w:val="18"/>
              </w:rPr>
              <w:t xml:space="preserve">15 ppm </w:t>
            </w:r>
            <w:proofErr w:type="spellStart"/>
            <w:r>
              <w:rPr>
                <w:rFonts w:ascii="Arial" w:hAnsi="Arial" w:cs="Arial"/>
                <w:sz w:val="18"/>
                <w:szCs w:val="18"/>
              </w:rPr>
              <w:t>máx</w:t>
            </w:r>
            <w:proofErr w:type="spellEnd"/>
          </w:p>
        </w:tc>
        <w:tc>
          <w:tcPr>
            <w:tcW w:w="2207" w:type="dxa"/>
          </w:tcPr>
          <w:p w:rsidR="00105EC2" w:rsidRPr="002153FC" w:rsidRDefault="00105EC2" w:rsidP="000E005E">
            <w:pPr>
              <w:jc w:val="center"/>
              <w:rPr>
                <w:rFonts w:ascii="Arial" w:hAnsi="Arial" w:cs="Arial"/>
                <w:sz w:val="18"/>
                <w:szCs w:val="18"/>
              </w:rPr>
            </w:pPr>
            <w:r>
              <w:rPr>
                <w:rFonts w:ascii="Arial" w:hAnsi="Arial" w:cs="Arial"/>
                <w:sz w:val="18"/>
                <w:szCs w:val="18"/>
              </w:rPr>
              <w:t xml:space="preserve">15 ppm </w:t>
            </w:r>
            <w:proofErr w:type="spellStart"/>
            <w:r>
              <w:rPr>
                <w:rFonts w:ascii="Arial" w:hAnsi="Arial" w:cs="Arial"/>
                <w:sz w:val="18"/>
                <w:szCs w:val="18"/>
              </w:rPr>
              <w:t>máx</w:t>
            </w:r>
            <w:proofErr w:type="spellEnd"/>
          </w:p>
        </w:tc>
      </w:tr>
    </w:tbl>
    <w:p w:rsidR="00164093" w:rsidRPr="00C9322B" w:rsidRDefault="00164093" w:rsidP="00164093">
      <w:pPr>
        <w:spacing w:after="0" w:line="240" w:lineRule="auto"/>
        <w:jc w:val="both"/>
        <w:rPr>
          <w:rFonts w:ascii="Tahoma" w:eastAsia="Calibri" w:hAnsi="Tahoma" w:cs="Tahoma"/>
          <w:sz w:val="20"/>
          <w:szCs w:val="20"/>
          <w:lang w:eastAsia="es-ES"/>
        </w:rPr>
      </w:pPr>
    </w:p>
    <w:p w:rsidR="00164093" w:rsidRPr="00C9322B" w:rsidRDefault="00164093" w:rsidP="00164093">
      <w:pPr>
        <w:spacing w:after="0" w:line="240" w:lineRule="auto"/>
        <w:jc w:val="both"/>
        <w:rPr>
          <w:rFonts w:ascii="Tahoma" w:eastAsia="Calibri" w:hAnsi="Tahoma" w:cs="Tahoma"/>
          <w:sz w:val="20"/>
          <w:szCs w:val="20"/>
          <w:lang w:eastAsia="es-ES"/>
        </w:rPr>
      </w:pPr>
    </w:p>
    <w:p w:rsidR="00164093" w:rsidRPr="000618B0" w:rsidRDefault="00CB7E22" w:rsidP="00164093">
      <w:pPr>
        <w:spacing w:after="0" w:line="240" w:lineRule="auto"/>
        <w:jc w:val="both"/>
        <w:rPr>
          <w:rFonts w:ascii="Tahoma" w:eastAsia="Calibri" w:hAnsi="Tahoma" w:cs="Tahoma"/>
          <w:sz w:val="20"/>
          <w:szCs w:val="20"/>
          <w:lang w:eastAsia="es-ES"/>
        </w:rPr>
      </w:pPr>
      <w:r>
        <w:rPr>
          <w:rFonts w:ascii="Tahoma" w:eastAsia="Calibri" w:hAnsi="Tahoma" w:cs="Tahoma"/>
          <w:sz w:val="20"/>
          <w:szCs w:val="20"/>
          <w:lang w:eastAsia="es-ES"/>
        </w:rPr>
        <w:t>Es necesario resaltar</w:t>
      </w:r>
      <w:r w:rsidR="00164093">
        <w:rPr>
          <w:rFonts w:ascii="Tahoma" w:eastAsia="Calibri" w:hAnsi="Tahoma" w:cs="Tahoma"/>
          <w:sz w:val="20"/>
          <w:szCs w:val="20"/>
          <w:lang w:eastAsia="es-ES"/>
        </w:rPr>
        <w:t xml:space="preserve"> que l</w:t>
      </w:r>
      <w:r w:rsidR="00164093" w:rsidRPr="000618B0">
        <w:rPr>
          <w:rFonts w:ascii="Tahoma" w:eastAsia="Calibri" w:hAnsi="Tahoma" w:cs="Tahoma"/>
          <w:sz w:val="20"/>
          <w:szCs w:val="20"/>
          <w:lang w:eastAsia="es-ES"/>
        </w:rPr>
        <w:t>as medidas y reducciones referidas anteriormente permitirán</w:t>
      </w:r>
      <w:r w:rsidR="00164093">
        <w:rPr>
          <w:rFonts w:ascii="Tahoma" w:eastAsia="Calibri" w:hAnsi="Tahoma" w:cs="Tahoma"/>
          <w:sz w:val="20"/>
          <w:szCs w:val="20"/>
          <w:lang w:eastAsia="es-ES"/>
        </w:rPr>
        <w:t>,</w:t>
      </w:r>
      <w:r w:rsidR="00164093" w:rsidRPr="000618B0">
        <w:rPr>
          <w:rFonts w:ascii="Tahoma" w:eastAsia="Calibri" w:hAnsi="Tahoma" w:cs="Tahoma"/>
          <w:sz w:val="20"/>
          <w:szCs w:val="20"/>
          <w:lang w:eastAsia="es-ES"/>
        </w:rPr>
        <w:t xml:space="preserve"> en gran parte</w:t>
      </w:r>
      <w:r w:rsidR="00164093">
        <w:rPr>
          <w:rFonts w:ascii="Tahoma" w:eastAsia="Calibri" w:hAnsi="Tahoma" w:cs="Tahoma"/>
          <w:sz w:val="20"/>
          <w:szCs w:val="20"/>
          <w:lang w:eastAsia="es-ES"/>
        </w:rPr>
        <w:t>,</w:t>
      </w:r>
      <w:r w:rsidR="00164093" w:rsidRPr="000618B0">
        <w:rPr>
          <w:rFonts w:ascii="Tahoma" w:eastAsia="Calibri" w:hAnsi="Tahoma" w:cs="Tahoma"/>
          <w:sz w:val="20"/>
          <w:szCs w:val="20"/>
          <w:lang w:eastAsia="es-ES"/>
        </w:rPr>
        <w:t xml:space="preserve"> mejorar la calidad d</w:t>
      </w:r>
      <w:r w:rsidR="009C7761">
        <w:rPr>
          <w:rFonts w:ascii="Tahoma" w:eastAsia="Calibri" w:hAnsi="Tahoma" w:cs="Tahoma"/>
          <w:sz w:val="20"/>
          <w:szCs w:val="20"/>
          <w:lang w:eastAsia="es-ES"/>
        </w:rPr>
        <w:t>el aire en zonas metropolitanas</w:t>
      </w:r>
      <w:r w:rsidR="00164093" w:rsidRPr="000618B0">
        <w:rPr>
          <w:rFonts w:ascii="Tahoma" w:eastAsia="Calibri" w:hAnsi="Tahoma" w:cs="Tahoma"/>
          <w:sz w:val="20"/>
          <w:szCs w:val="20"/>
          <w:lang w:eastAsia="es-ES"/>
        </w:rPr>
        <w:t xml:space="preserve"> y</w:t>
      </w:r>
      <w:r w:rsidR="009C7761">
        <w:rPr>
          <w:rFonts w:ascii="Tahoma" w:eastAsia="Calibri" w:hAnsi="Tahoma" w:cs="Tahoma"/>
          <w:sz w:val="20"/>
          <w:szCs w:val="20"/>
          <w:lang w:eastAsia="es-ES"/>
        </w:rPr>
        <w:t>,</w:t>
      </w:r>
      <w:r w:rsidR="00164093" w:rsidRPr="000618B0">
        <w:rPr>
          <w:rFonts w:ascii="Tahoma" w:eastAsia="Calibri" w:hAnsi="Tahoma" w:cs="Tahoma"/>
          <w:sz w:val="20"/>
          <w:szCs w:val="20"/>
          <w:lang w:eastAsia="es-ES"/>
        </w:rPr>
        <w:t xml:space="preserve"> de no regularse</w:t>
      </w:r>
      <w:r>
        <w:rPr>
          <w:rFonts w:ascii="Tahoma" w:eastAsia="Calibri" w:hAnsi="Tahoma" w:cs="Tahoma"/>
          <w:sz w:val="20"/>
          <w:szCs w:val="20"/>
          <w:lang w:eastAsia="es-ES"/>
        </w:rPr>
        <w:t xml:space="preserve"> la calidad de los combustibles</w:t>
      </w:r>
      <w:r w:rsidR="00164093" w:rsidRPr="000618B0">
        <w:rPr>
          <w:rFonts w:ascii="Tahoma" w:eastAsia="Calibri" w:hAnsi="Tahoma" w:cs="Tahoma"/>
          <w:sz w:val="20"/>
          <w:szCs w:val="20"/>
          <w:lang w:eastAsia="es-ES"/>
        </w:rPr>
        <w:t>, se propiciaría la emisión de contaminantes a la atmósfera que impactarían directamente en la salud y el medio ambiente</w:t>
      </w:r>
      <w:bookmarkStart w:id="0" w:name="_GoBack"/>
      <w:bookmarkEnd w:id="0"/>
      <w:r w:rsidR="00164093" w:rsidRPr="000618B0">
        <w:rPr>
          <w:rFonts w:ascii="Tahoma" w:eastAsia="Calibri" w:hAnsi="Tahoma" w:cs="Tahoma"/>
          <w:sz w:val="20"/>
          <w:szCs w:val="20"/>
          <w:lang w:eastAsia="es-ES"/>
        </w:rPr>
        <w:t>.</w:t>
      </w:r>
    </w:p>
    <w:p w:rsidR="00164093" w:rsidRDefault="00164093" w:rsidP="00164093">
      <w:pPr>
        <w:spacing w:after="0" w:line="240" w:lineRule="auto"/>
        <w:jc w:val="both"/>
        <w:rPr>
          <w:rFonts w:ascii="Tahoma" w:eastAsia="Calibri" w:hAnsi="Tahoma" w:cs="Tahoma"/>
          <w:lang w:eastAsia="es-ES"/>
        </w:rPr>
      </w:pPr>
    </w:p>
    <w:p w:rsidR="00164093" w:rsidRDefault="009B327A" w:rsidP="00164093">
      <w:pPr>
        <w:spacing w:after="0" w:line="240" w:lineRule="auto"/>
        <w:jc w:val="both"/>
        <w:rPr>
          <w:rFonts w:ascii="Tahoma" w:hAnsi="Tahoma" w:cs="Tahoma"/>
          <w:sz w:val="20"/>
          <w:szCs w:val="20"/>
        </w:rPr>
      </w:pPr>
      <w:r>
        <w:rPr>
          <w:rFonts w:ascii="Tahoma" w:eastAsia="Calibri" w:hAnsi="Tahoma" w:cs="Tahoma"/>
          <w:sz w:val="20"/>
          <w:szCs w:val="20"/>
          <w:lang w:eastAsia="es-ES"/>
        </w:rPr>
        <w:t xml:space="preserve">Cabe </w:t>
      </w:r>
      <w:r w:rsidR="00164093" w:rsidRPr="00C9322B">
        <w:rPr>
          <w:rFonts w:ascii="Tahoma" w:eastAsia="Calibri" w:hAnsi="Tahoma" w:cs="Tahoma"/>
          <w:sz w:val="20"/>
          <w:szCs w:val="20"/>
          <w:lang w:eastAsia="es-ES"/>
        </w:rPr>
        <w:t>mencionar que l</w:t>
      </w:r>
      <w:r w:rsidR="00164093" w:rsidRPr="00C9322B">
        <w:rPr>
          <w:rFonts w:ascii="Tahoma" w:hAnsi="Tahoma" w:cs="Tahoma"/>
          <w:sz w:val="20"/>
          <w:szCs w:val="20"/>
        </w:rPr>
        <w:t xml:space="preserve">a Comisión está actualmente en proceso de elaboración de la NOM-016-CRE-2016 Especificaciones de calidad de los petrolíferos, </w:t>
      </w:r>
      <w:r w:rsidR="00164093">
        <w:rPr>
          <w:rFonts w:ascii="Tahoma" w:hAnsi="Tahoma" w:cs="Tahoma"/>
          <w:sz w:val="20"/>
          <w:szCs w:val="20"/>
        </w:rPr>
        <w:t xml:space="preserve">misma </w:t>
      </w:r>
      <w:r w:rsidR="00164093" w:rsidRPr="00C9322B">
        <w:rPr>
          <w:rFonts w:ascii="Tahoma" w:hAnsi="Tahoma" w:cs="Tahoma"/>
          <w:sz w:val="20"/>
          <w:szCs w:val="20"/>
        </w:rPr>
        <w:t>que tendrá el carácter de definitiva.</w:t>
      </w:r>
    </w:p>
    <w:p w:rsidR="00164093" w:rsidRDefault="00164093" w:rsidP="00164093">
      <w:pPr>
        <w:spacing w:after="0" w:line="240" w:lineRule="auto"/>
        <w:jc w:val="both"/>
        <w:rPr>
          <w:rFonts w:ascii="Tahoma" w:hAnsi="Tahoma" w:cs="Tahoma"/>
          <w:sz w:val="20"/>
          <w:szCs w:val="20"/>
        </w:rPr>
      </w:pPr>
    </w:p>
    <w:p w:rsidR="00164093" w:rsidRDefault="00164093" w:rsidP="00164093">
      <w:pPr>
        <w:spacing w:after="0" w:line="240" w:lineRule="auto"/>
        <w:jc w:val="both"/>
        <w:rPr>
          <w:rFonts w:ascii="Tahoma" w:eastAsia="Calibri" w:hAnsi="Tahoma" w:cs="Tahoma"/>
          <w:lang w:eastAsia="es-ES"/>
        </w:rPr>
      </w:pPr>
      <w:r>
        <w:rPr>
          <w:rFonts w:ascii="Tahoma" w:hAnsi="Tahoma" w:cs="Tahoma"/>
          <w:sz w:val="20"/>
          <w:szCs w:val="20"/>
        </w:rPr>
        <w:t>Con lo anterior, la CRE mantiene firme su comp</w:t>
      </w:r>
      <w:r w:rsidR="009C7761">
        <w:rPr>
          <w:rFonts w:ascii="Tahoma" w:hAnsi="Tahoma" w:cs="Tahoma"/>
          <w:sz w:val="20"/>
          <w:szCs w:val="20"/>
        </w:rPr>
        <w:t>romiso en seguir elaborando este tipo de n</w:t>
      </w:r>
      <w:r>
        <w:rPr>
          <w:rFonts w:ascii="Tahoma" w:hAnsi="Tahoma" w:cs="Tahoma"/>
          <w:sz w:val="20"/>
          <w:szCs w:val="20"/>
        </w:rPr>
        <w:t xml:space="preserve">ormas </w:t>
      </w:r>
      <w:r w:rsidR="009C7761">
        <w:rPr>
          <w:rFonts w:ascii="Tahoma" w:hAnsi="Tahoma" w:cs="Tahoma"/>
          <w:sz w:val="20"/>
          <w:szCs w:val="20"/>
        </w:rPr>
        <w:t>oficiales mexicanas</w:t>
      </w:r>
      <w:r>
        <w:rPr>
          <w:rFonts w:ascii="Tahoma" w:hAnsi="Tahoma" w:cs="Tahoma"/>
          <w:sz w:val="20"/>
          <w:szCs w:val="20"/>
        </w:rPr>
        <w:t xml:space="preserve">, con el objeto de que estas ayuden a salvaguardar el </w:t>
      </w:r>
      <w:r w:rsidR="009C7761">
        <w:rPr>
          <w:rFonts w:ascii="Tahoma" w:hAnsi="Tahoma" w:cs="Tahoma"/>
          <w:sz w:val="20"/>
          <w:szCs w:val="20"/>
        </w:rPr>
        <w:t>bienestar y salud de la población</w:t>
      </w:r>
      <w:r>
        <w:rPr>
          <w:rFonts w:ascii="Tahoma" w:hAnsi="Tahoma" w:cs="Tahoma"/>
          <w:sz w:val="20"/>
          <w:szCs w:val="20"/>
        </w:rPr>
        <w:t xml:space="preserve">, así como garantizar </w:t>
      </w:r>
      <w:r w:rsidR="00317AE6">
        <w:rPr>
          <w:rFonts w:ascii="Tahoma" w:hAnsi="Tahoma" w:cs="Tahoma"/>
          <w:sz w:val="20"/>
          <w:szCs w:val="20"/>
        </w:rPr>
        <w:t>una sana competencia</w:t>
      </w:r>
      <w:r>
        <w:rPr>
          <w:rFonts w:ascii="Tahoma" w:hAnsi="Tahoma" w:cs="Tahoma"/>
          <w:sz w:val="20"/>
          <w:szCs w:val="20"/>
        </w:rPr>
        <w:t xml:space="preserve"> en el mercado.</w:t>
      </w:r>
    </w:p>
    <w:p w:rsidR="00164093" w:rsidRDefault="00164093" w:rsidP="00164093">
      <w:pPr>
        <w:spacing w:after="0" w:line="240" w:lineRule="auto"/>
        <w:jc w:val="both"/>
        <w:rPr>
          <w:rFonts w:ascii="Tahoma" w:eastAsia="Calibri" w:hAnsi="Tahoma" w:cs="Tahoma"/>
          <w:lang w:eastAsia="es-ES"/>
        </w:rPr>
      </w:pPr>
    </w:p>
    <w:p w:rsidR="00164093" w:rsidRDefault="00164093" w:rsidP="00164093">
      <w:pPr>
        <w:spacing w:after="120" w:line="240" w:lineRule="auto"/>
        <w:jc w:val="both"/>
        <w:rPr>
          <w:rFonts w:ascii="Tahoma" w:eastAsia="Times New Roman" w:hAnsi="Tahoma" w:cs="Tahoma"/>
          <w:lang w:eastAsia="es-ES"/>
        </w:rPr>
      </w:pPr>
    </w:p>
    <w:p w:rsidR="00164093" w:rsidRPr="00E651E6" w:rsidRDefault="00164093" w:rsidP="00164093">
      <w:pPr>
        <w:spacing w:after="120" w:line="240" w:lineRule="auto"/>
        <w:jc w:val="both"/>
        <w:rPr>
          <w:rFonts w:ascii="Tahoma" w:eastAsia="Times New Roman" w:hAnsi="Tahoma" w:cs="Tahoma"/>
          <w:lang w:eastAsia="es-ES"/>
        </w:rPr>
      </w:pPr>
    </w:p>
    <w:p w:rsidR="00164093" w:rsidRPr="00E651E6" w:rsidRDefault="00164093" w:rsidP="00164093">
      <w:pPr>
        <w:pStyle w:val="Sinespaciado"/>
        <w:jc w:val="center"/>
        <w:rPr>
          <w:rFonts w:ascii="Tahoma" w:hAnsi="Tahoma" w:cs="Tahoma"/>
          <w:b/>
          <w:lang w:val="es-ES"/>
        </w:rPr>
      </w:pPr>
      <w:r w:rsidRPr="00E651E6">
        <w:rPr>
          <w:rFonts w:ascii="Tahoma" w:hAnsi="Tahoma" w:cs="Tahoma"/>
          <w:b/>
          <w:lang w:val="es-ES"/>
        </w:rPr>
        <w:t>-00-</w:t>
      </w:r>
    </w:p>
    <w:p w:rsidR="00164093" w:rsidRPr="00E651E6" w:rsidRDefault="00164093" w:rsidP="00164093">
      <w:pPr>
        <w:pStyle w:val="Sinespaciado"/>
        <w:jc w:val="both"/>
        <w:rPr>
          <w:rFonts w:ascii="Tahoma" w:hAnsi="Tahoma" w:cs="Tahoma"/>
        </w:rPr>
      </w:pPr>
    </w:p>
    <w:p w:rsidR="00163832" w:rsidRDefault="00163832"/>
    <w:sectPr w:rsidR="0016383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FFE" w:rsidRDefault="00972FFE">
      <w:pPr>
        <w:spacing w:after="0" w:line="240" w:lineRule="auto"/>
      </w:pPr>
      <w:r>
        <w:separator/>
      </w:r>
    </w:p>
  </w:endnote>
  <w:endnote w:type="continuationSeparator" w:id="0">
    <w:p w:rsidR="00972FFE" w:rsidRDefault="0097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26227"/>
      <w:docPartObj>
        <w:docPartGallery w:val="Page Numbers (Bottom of Page)"/>
        <w:docPartUnique/>
      </w:docPartObj>
    </w:sdtPr>
    <w:sdtEndPr/>
    <w:sdtContent>
      <w:sdt>
        <w:sdtPr>
          <w:id w:val="1728636285"/>
          <w:docPartObj>
            <w:docPartGallery w:val="Page Numbers (Top of Page)"/>
            <w:docPartUnique/>
          </w:docPartObj>
        </w:sdtPr>
        <w:sdtEndPr/>
        <w:sdtContent>
          <w:p w:rsidR="0044272E" w:rsidRDefault="0016409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B7E22">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B7E22">
              <w:rPr>
                <w:b/>
                <w:bCs/>
                <w:noProof/>
              </w:rPr>
              <w:t>3</w:t>
            </w:r>
            <w:r>
              <w:rPr>
                <w:b/>
                <w:bCs/>
                <w:sz w:val="24"/>
                <w:szCs w:val="24"/>
              </w:rPr>
              <w:fldChar w:fldCharType="end"/>
            </w:r>
          </w:p>
        </w:sdtContent>
      </w:sdt>
    </w:sdtContent>
  </w:sdt>
  <w:p w:rsidR="0044272E" w:rsidRDefault="00972F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FFE" w:rsidRDefault="00972FFE">
      <w:pPr>
        <w:spacing w:after="0" w:line="240" w:lineRule="auto"/>
      </w:pPr>
      <w:r>
        <w:separator/>
      </w:r>
    </w:p>
  </w:footnote>
  <w:footnote w:type="continuationSeparator" w:id="0">
    <w:p w:rsidR="00972FFE" w:rsidRDefault="00972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52E60"/>
    <w:multiLevelType w:val="hybridMultilevel"/>
    <w:tmpl w:val="2E840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BA1B8E"/>
    <w:multiLevelType w:val="hybridMultilevel"/>
    <w:tmpl w:val="1BE0CE90"/>
    <w:lvl w:ilvl="0" w:tplc="BB6A7EE8">
      <w:start w:val="3"/>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93"/>
    <w:rsid w:val="000A2414"/>
    <w:rsid w:val="00105EC2"/>
    <w:rsid w:val="00150480"/>
    <w:rsid w:val="00163832"/>
    <w:rsid w:val="00164093"/>
    <w:rsid w:val="002D5D8D"/>
    <w:rsid w:val="00317AE6"/>
    <w:rsid w:val="0042118C"/>
    <w:rsid w:val="00817356"/>
    <w:rsid w:val="00972FFE"/>
    <w:rsid w:val="009B327A"/>
    <w:rsid w:val="009C7761"/>
    <w:rsid w:val="00CB7E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BBA4"/>
  <w15:chartTrackingRefBased/>
  <w15:docId w15:val="{66558548-7D4E-4036-A96E-E3F59747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4093"/>
    <w:pPr>
      <w:spacing w:after="0" w:line="240" w:lineRule="auto"/>
    </w:pPr>
  </w:style>
  <w:style w:type="paragraph" w:styleId="Piedepgina">
    <w:name w:val="footer"/>
    <w:basedOn w:val="Normal"/>
    <w:link w:val="PiedepginaCar"/>
    <w:uiPriority w:val="99"/>
    <w:unhideWhenUsed/>
    <w:rsid w:val="00164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093"/>
  </w:style>
  <w:style w:type="paragraph" w:styleId="Prrafodelista">
    <w:name w:val="List Paragraph"/>
    <w:basedOn w:val="Normal"/>
    <w:uiPriority w:val="34"/>
    <w:qFormat/>
    <w:rsid w:val="00164093"/>
    <w:pPr>
      <w:spacing w:after="0" w:line="240" w:lineRule="auto"/>
      <w:ind w:left="720"/>
      <w:contextualSpacing/>
    </w:pPr>
    <w:rPr>
      <w:rFonts w:ascii="Arial" w:eastAsia="Times New Roman" w:hAnsi="Arial" w:cs="Times New Roman"/>
      <w:sz w:val="24"/>
      <w:szCs w:val="20"/>
      <w:lang w:eastAsia="es-ES"/>
    </w:rPr>
  </w:style>
  <w:style w:type="table" w:styleId="Tablaconcuadrcula">
    <w:name w:val="Table Grid"/>
    <w:basedOn w:val="Tablanormal"/>
    <w:uiPriority w:val="39"/>
    <w:rsid w:val="0016409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912</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Javier Lopez Tovar</dc:creator>
  <cp:keywords/>
  <dc:description/>
  <cp:lastModifiedBy>Fernando Javier Lopez Tovar</cp:lastModifiedBy>
  <cp:revision>4</cp:revision>
  <dcterms:created xsi:type="dcterms:W3CDTF">2016-04-15T03:20:00Z</dcterms:created>
  <dcterms:modified xsi:type="dcterms:W3CDTF">2016-04-18T19:07:00Z</dcterms:modified>
</cp:coreProperties>
</file>